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CED" w:rsidRDefault="00211CED" w:rsidP="00211CED">
      <w:pPr>
        <w:ind w:firstLineChars="200" w:firstLine="420"/>
        <w:jc w:val="center"/>
        <w:rPr>
          <w:rFonts w:ascii="Arial" w:hAnsi="Arial" w:cs="Arial"/>
        </w:rPr>
      </w:pPr>
      <w:bookmarkStart w:id="0" w:name="_Toc352314694"/>
      <w:bookmarkStart w:id="1" w:name="_Toc401687534"/>
      <w:bookmarkStart w:id="2" w:name="_Toc403383376"/>
      <w:r>
        <w:rPr>
          <w:noProof/>
        </w:rPr>
        <w:drawing>
          <wp:inline distT="0" distB="0" distL="0" distR="0">
            <wp:extent cx="1857375" cy="1857375"/>
            <wp:effectExtent l="1905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srcRect/>
                    <a:stretch>
                      <a:fillRect/>
                    </a:stretch>
                  </pic:blipFill>
                  <pic:spPr bwMode="auto">
                    <a:xfrm>
                      <a:off x="0" y="0"/>
                      <a:ext cx="1857375" cy="1857375"/>
                    </a:xfrm>
                    <a:prstGeom prst="rect">
                      <a:avLst/>
                    </a:prstGeom>
                    <a:noFill/>
                    <a:ln w="9525">
                      <a:noFill/>
                      <a:miter lim="800000"/>
                      <a:headEnd/>
                      <a:tailEnd/>
                    </a:ln>
                  </pic:spPr>
                </pic:pic>
              </a:graphicData>
            </a:graphic>
          </wp:inline>
        </w:drawing>
      </w:r>
    </w:p>
    <w:p w:rsidR="00211CED" w:rsidRDefault="00211CED" w:rsidP="00211CED">
      <w:pPr>
        <w:ind w:firstLineChars="200" w:firstLine="420"/>
        <w:rPr>
          <w:rFonts w:ascii="Arial" w:hAnsi="Arial" w:cs="Arial"/>
        </w:rPr>
      </w:pPr>
    </w:p>
    <w:p w:rsidR="00211CED" w:rsidRDefault="00211CED" w:rsidP="00211CED">
      <w:pPr>
        <w:ind w:firstLineChars="200" w:firstLine="420"/>
        <w:rPr>
          <w:rFonts w:ascii="Arial" w:hAnsi="Arial" w:cs="Arial"/>
        </w:rPr>
      </w:pPr>
    </w:p>
    <w:p w:rsidR="00211CED" w:rsidRPr="00224B13" w:rsidRDefault="00224B13" w:rsidP="008B2CC7">
      <w:pPr>
        <w:jc w:val="center"/>
        <w:rPr>
          <w:rFonts w:ascii="黑体" w:eastAsia="黑体" w:hAnsi="Arial" w:cs="Arial"/>
          <w:b/>
          <w:sz w:val="72"/>
          <w:szCs w:val="72"/>
        </w:rPr>
      </w:pPr>
      <w:r w:rsidRPr="00224B13">
        <w:rPr>
          <w:rFonts w:ascii="黑体" w:eastAsia="黑体" w:hAnsi="Arial" w:cs="Arial" w:hint="eastAsia"/>
          <w:b/>
          <w:sz w:val="72"/>
          <w:szCs w:val="72"/>
        </w:rPr>
        <w:t>福州大学至诚学院</w:t>
      </w:r>
    </w:p>
    <w:p w:rsidR="00211CED" w:rsidRPr="00224B13" w:rsidRDefault="00224B13" w:rsidP="008B2CC7">
      <w:pPr>
        <w:jc w:val="center"/>
        <w:rPr>
          <w:rFonts w:ascii="黑体" w:eastAsia="黑体" w:hAnsi="Arial" w:cs="Arial"/>
          <w:b/>
          <w:sz w:val="72"/>
          <w:szCs w:val="72"/>
        </w:rPr>
      </w:pPr>
      <w:r w:rsidRPr="00224B13">
        <w:rPr>
          <w:rFonts w:ascii="黑体" w:eastAsia="黑体" w:hAnsi="Arial" w:cs="Arial" w:hint="eastAsia"/>
          <w:b/>
          <w:sz w:val="72"/>
          <w:szCs w:val="72"/>
        </w:rPr>
        <w:t>2014年</w:t>
      </w:r>
      <w:r w:rsidR="00211CED" w:rsidRPr="00224B13">
        <w:rPr>
          <w:rFonts w:ascii="黑体" w:eastAsia="黑体" w:hAnsi="Arial" w:cs="Arial" w:hint="eastAsia"/>
          <w:b/>
          <w:sz w:val="72"/>
          <w:szCs w:val="72"/>
        </w:rPr>
        <w:t>本科教学质量报告</w:t>
      </w:r>
    </w:p>
    <w:p w:rsidR="00211CED" w:rsidRDefault="00211CED" w:rsidP="00211CED">
      <w:pPr>
        <w:ind w:firstLineChars="200" w:firstLine="482"/>
        <w:rPr>
          <w:rFonts w:ascii="Arial" w:hAnsi="Arial" w:cs="Arial"/>
          <w:b/>
          <w:sz w:val="24"/>
        </w:rPr>
      </w:pPr>
    </w:p>
    <w:p w:rsidR="00211CED" w:rsidRDefault="00211CED" w:rsidP="00211CED">
      <w:pPr>
        <w:ind w:firstLineChars="200" w:firstLine="482"/>
        <w:rPr>
          <w:rFonts w:ascii="Arial" w:hAnsi="Arial" w:cs="Arial"/>
          <w:b/>
          <w:sz w:val="24"/>
        </w:rPr>
      </w:pPr>
    </w:p>
    <w:p w:rsidR="00211CED" w:rsidRDefault="00211CED" w:rsidP="00211CED">
      <w:pPr>
        <w:ind w:firstLineChars="200" w:firstLine="482"/>
        <w:rPr>
          <w:rFonts w:ascii="Arial" w:hAnsi="Arial" w:cs="Arial"/>
          <w:b/>
          <w:sz w:val="24"/>
        </w:rPr>
      </w:pPr>
    </w:p>
    <w:p w:rsidR="00211CED" w:rsidRDefault="00211CED" w:rsidP="00211CED">
      <w:pPr>
        <w:ind w:firstLineChars="200" w:firstLine="482"/>
        <w:rPr>
          <w:rFonts w:ascii="Arial" w:hAnsi="Arial" w:cs="Arial"/>
          <w:b/>
          <w:sz w:val="24"/>
        </w:rPr>
      </w:pPr>
    </w:p>
    <w:p w:rsidR="00211CED" w:rsidRPr="008B2CC7" w:rsidRDefault="00211CED" w:rsidP="008B2CC7">
      <w:pPr>
        <w:ind w:firstLineChars="200" w:firstLine="480"/>
        <w:rPr>
          <w:rFonts w:ascii="Arial" w:hAnsi="Arial" w:cs="Arial"/>
          <w:sz w:val="24"/>
        </w:rPr>
      </w:pPr>
    </w:p>
    <w:p w:rsidR="00211CED" w:rsidRDefault="00211CED" w:rsidP="00211CED">
      <w:pPr>
        <w:ind w:firstLineChars="200" w:firstLine="482"/>
        <w:rPr>
          <w:rFonts w:ascii="Arial" w:hAnsi="Arial" w:cs="Arial"/>
          <w:b/>
          <w:sz w:val="24"/>
        </w:rPr>
      </w:pPr>
    </w:p>
    <w:p w:rsidR="00211CED" w:rsidRDefault="00211CED" w:rsidP="00211CED">
      <w:pPr>
        <w:ind w:firstLineChars="200" w:firstLine="482"/>
        <w:rPr>
          <w:rFonts w:ascii="Arial" w:hAnsi="Arial" w:cs="Arial"/>
          <w:b/>
          <w:sz w:val="24"/>
        </w:rPr>
      </w:pPr>
    </w:p>
    <w:p w:rsidR="00211CED" w:rsidRDefault="00211CED" w:rsidP="00211CED">
      <w:pPr>
        <w:ind w:firstLineChars="200" w:firstLine="482"/>
        <w:rPr>
          <w:rFonts w:ascii="Arial" w:hAnsi="Arial" w:cs="Arial"/>
          <w:b/>
          <w:sz w:val="24"/>
        </w:rPr>
      </w:pPr>
    </w:p>
    <w:p w:rsidR="008B2CC7" w:rsidRDefault="008B2CC7" w:rsidP="00211CED">
      <w:pPr>
        <w:jc w:val="center"/>
        <w:rPr>
          <w:rFonts w:ascii="黑体" w:eastAsia="黑体" w:hAnsi="Arial" w:cs="Arial"/>
          <w:b/>
          <w:sz w:val="36"/>
          <w:szCs w:val="36"/>
        </w:rPr>
      </w:pPr>
    </w:p>
    <w:p w:rsidR="008B2CC7" w:rsidRDefault="008B2CC7" w:rsidP="00211CED">
      <w:pPr>
        <w:jc w:val="center"/>
        <w:rPr>
          <w:rFonts w:ascii="黑体" w:eastAsia="黑体" w:hAnsi="Arial" w:cs="Arial"/>
          <w:b/>
          <w:sz w:val="36"/>
          <w:szCs w:val="36"/>
        </w:rPr>
      </w:pPr>
    </w:p>
    <w:p w:rsidR="00211CED" w:rsidRPr="00224B13" w:rsidRDefault="00211CED" w:rsidP="00211CED">
      <w:pPr>
        <w:jc w:val="center"/>
        <w:rPr>
          <w:rFonts w:ascii="黑体" w:eastAsia="黑体" w:hAnsi="Arial" w:cs="Arial"/>
          <w:b/>
          <w:sz w:val="52"/>
          <w:szCs w:val="52"/>
        </w:rPr>
        <w:sectPr w:rsidR="00211CED" w:rsidRPr="00224B13" w:rsidSect="00440690">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pgNumType w:fmt="upperRoman" w:start="1"/>
          <w:cols w:space="720"/>
          <w:titlePg/>
          <w:docGrid w:type="lines" w:linePitch="312"/>
        </w:sectPr>
      </w:pPr>
      <w:r w:rsidRPr="00224B13">
        <w:rPr>
          <w:rFonts w:ascii="黑体" w:eastAsia="黑体" w:hAnsi="Arial" w:cs="Arial" w:hint="eastAsia"/>
          <w:b/>
          <w:sz w:val="52"/>
          <w:szCs w:val="52"/>
        </w:rPr>
        <w:t>二〇一五年十一月</w:t>
      </w:r>
    </w:p>
    <w:sdt>
      <w:sdtPr>
        <w:rPr>
          <w:rFonts w:ascii="Times New Roman" w:eastAsia="宋体" w:hAnsi="Times New Roman" w:cs="Times New Roman"/>
          <w:b w:val="0"/>
          <w:bCs w:val="0"/>
          <w:color w:val="auto"/>
          <w:kern w:val="2"/>
          <w:sz w:val="21"/>
          <w:szCs w:val="24"/>
          <w:lang w:val="zh-CN"/>
        </w:rPr>
        <w:id w:val="25599328"/>
        <w:docPartObj>
          <w:docPartGallery w:val="Table of Contents"/>
          <w:docPartUnique/>
        </w:docPartObj>
      </w:sdtPr>
      <w:sdtEndPr>
        <w:rPr>
          <w:lang w:val="en-US"/>
        </w:rPr>
      </w:sdtEndPr>
      <w:sdtContent>
        <w:p w:rsidR="0089285E" w:rsidRPr="0089285E" w:rsidRDefault="0089285E" w:rsidP="0089285E">
          <w:pPr>
            <w:pStyle w:val="TOC"/>
            <w:jc w:val="center"/>
            <w:rPr>
              <w:rFonts w:ascii="宋体" w:eastAsia="宋体" w:hAnsi="宋体"/>
              <w:color w:val="auto"/>
            </w:rPr>
          </w:pPr>
          <w:r w:rsidRPr="0089285E">
            <w:rPr>
              <w:rFonts w:ascii="宋体" w:eastAsia="宋体" w:hAnsi="宋体"/>
              <w:color w:val="auto"/>
              <w:lang w:val="zh-CN"/>
            </w:rPr>
            <w:t>目录</w:t>
          </w:r>
        </w:p>
        <w:p w:rsidR="006227EA" w:rsidRPr="006227EA" w:rsidRDefault="0086746D">
          <w:pPr>
            <w:pStyle w:val="10"/>
            <w:tabs>
              <w:tab w:val="right" w:leader="dot" w:pos="8296"/>
            </w:tabs>
            <w:rPr>
              <w:rFonts w:ascii="宋体" w:hAnsi="宋体" w:cstheme="minorBidi"/>
              <w:noProof/>
              <w:szCs w:val="22"/>
            </w:rPr>
          </w:pPr>
          <w:r w:rsidRPr="0089285E">
            <w:rPr>
              <w:rFonts w:ascii="宋体" w:hAnsi="宋体"/>
            </w:rPr>
            <w:fldChar w:fldCharType="begin"/>
          </w:r>
          <w:r w:rsidR="0089285E" w:rsidRPr="0089285E">
            <w:rPr>
              <w:rFonts w:ascii="宋体" w:hAnsi="宋体"/>
            </w:rPr>
            <w:instrText xml:space="preserve"> TOC \o "1-3" \h \z \u </w:instrText>
          </w:r>
          <w:r w:rsidRPr="0089285E">
            <w:rPr>
              <w:rFonts w:ascii="宋体" w:hAnsi="宋体"/>
            </w:rPr>
            <w:fldChar w:fldCharType="separate"/>
          </w:r>
          <w:hyperlink w:anchor="_Toc435623793" w:history="1">
            <w:r w:rsidR="006227EA" w:rsidRPr="006227EA">
              <w:rPr>
                <w:rStyle w:val="a8"/>
                <w:rFonts w:ascii="宋体" w:hAnsi="宋体" w:hint="eastAsia"/>
                <w:bCs/>
                <w:noProof/>
                <w:kern w:val="44"/>
              </w:rPr>
              <w:t>前言</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_Toc435623793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794" w:history="1">
            <w:r w:rsidR="006227EA" w:rsidRPr="006227EA">
              <w:rPr>
                <w:rStyle w:val="a8"/>
                <w:rFonts w:ascii="宋体" w:hAnsi="宋体" w:hint="eastAsia"/>
                <w:bCs/>
                <w:noProof/>
                <w:kern w:val="44"/>
              </w:rPr>
              <w:t>一、本科教育基本情况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_Toc435623794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795" w:history="1">
            <w:r w:rsidR="006227EA" w:rsidRPr="006227EA">
              <w:rPr>
                <w:rStyle w:val="a8"/>
                <w:rFonts w:ascii="宋体" w:hAnsi="宋体" w:hint="eastAsia"/>
                <w:bCs/>
                <w:noProof/>
              </w:rPr>
              <w:t>（一）办学定位与思路</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_Toc435623795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796" w:history="1">
            <w:r w:rsidR="006227EA" w:rsidRPr="006227EA">
              <w:rPr>
                <w:rStyle w:val="a8"/>
                <w:rFonts w:ascii="宋体" w:hAnsi="宋体" w:hint="eastAsia"/>
                <w:bCs/>
                <w:noProof/>
              </w:rPr>
              <w:t>（二）本科专业设置情况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_Toc435623796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797" w:history="1">
            <w:r w:rsidR="006227EA" w:rsidRPr="006227EA">
              <w:rPr>
                <w:rStyle w:val="a8"/>
                <w:rFonts w:ascii="宋体" w:hAnsi="宋体" w:hint="eastAsia"/>
                <w:bCs/>
                <w:noProof/>
              </w:rPr>
              <w:t>（三）学生基本情况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_Toc435623797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4</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798" w:history="1">
            <w:r w:rsidR="006227EA" w:rsidRPr="006227EA">
              <w:rPr>
                <w:rStyle w:val="a8"/>
                <w:rFonts w:ascii="宋体" w:hAnsi="宋体" w:hint="eastAsia"/>
                <w:bCs/>
                <w:noProof/>
              </w:rPr>
              <w:t>（四）本科生生源情况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_Toc435623798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5</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799" w:history="1">
            <w:r w:rsidR="006227EA" w:rsidRPr="006227EA">
              <w:rPr>
                <w:rStyle w:val="a8"/>
                <w:rFonts w:ascii="宋体" w:hAnsi="宋体" w:hint="eastAsia"/>
                <w:bCs/>
                <w:noProof/>
                <w:kern w:val="44"/>
              </w:rPr>
              <w:t>二、师资与教学条件</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_Toc435623799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7</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0" w:history="1">
            <w:r w:rsidR="006227EA" w:rsidRPr="006227EA">
              <w:rPr>
                <w:rStyle w:val="a8"/>
                <w:rFonts w:ascii="宋体" w:hAnsi="宋体" w:hint="eastAsia"/>
                <w:bCs/>
                <w:noProof/>
              </w:rPr>
              <w:t>（一）师资队伍</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_Toc435623800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7</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1" w:history="1">
            <w:r w:rsidR="006227EA" w:rsidRPr="006227EA">
              <w:rPr>
                <w:rStyle w:val="a8"/>
                <w:rFonts w:ascii="宋体" w:hAnsi="宋体" w:hint="eastAsia"/>
                <w:bCs/>
                <w:noProof/>
              </w:rPr>
              <w:t>（二）教学经费投入情况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_Toc435623801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10</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2" w:history="1">
            <w:r w:rsidR="006227EA" w:rsidRPr="006227EA">
              <w:rPr>
                <w:rStyle w:val="a8"/>
                <w:rFonts w:ascii="宋体" w:hAnsi="宋体" w:hint="eastAsia"/>
                <w:bCs/>
                <w:noProof/>
              </w:rPr>
              <w:t>（三）教学行政用房、图书、设备、信息资源及其应用情况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_Toc435623802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10</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803" w:history="1">
            <w:r w:rsidR="006227EA" w:rsidRPr="006227EA">
              <w:rPr>
                <w:rStyle w:val="a8"/>
                <w:rFonts w:ascii="宋体" w:hAnsi="宋体" w:hint="eastAsia"/>
                <w:bCs/>
                <w:noProof/>
                <w:kern w:val="44"/>
              </w:rPr>
              <w:t>三、教学建设与改革</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_Toc435623803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11</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4" w:history="1">
            <w:r w:rsidR="006227EA" w:rsidRPr="006227EA">
              <w:rPr>
                <w:rStyle w:val="a8"/>
                <w:rFonts w:ascii="宋体" w:hAnsi="宋体" w:hint="eastAsia"/>
                <w:bCs/>
                <w:noProof/>
              </w:rPr>
              <w:t>（一）专业现状与建设</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_Toc435623804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11</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5" w:history="1">
            <w:r w:rsidR="006227EA" w:rsidRPr="006227EA">
              <w:rPr>
                <w:rStyle w:val="a8"/>
                <w:rFonts w:ascii="宋体" w:hAnsi="宋体" w:hint="eastAsia"/>
                <w:bCs/>
                <w:noProof/>
              </w:rPr>
              <w:t>（二）课程建设</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_Toc435623805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12</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6" w:history="1">
            <w:r w:rsidR="006227EA" w:rsidRPr="006227EA">
              <w:rPr>
                <w:rStyle w:val="a8"/>
                <w:rFonts w:ascii="宋体" w:hAnsi="宋体" w:hint="eastAsia"/>
                <w:bCs/>
                <w:noProof/>
              </w:rPr>
              <w:t>（三）教材建设</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_Toc435623806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12</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7" w:history="1">
            <w:r w:rsidR="006227EA" w:rsidRPr="006227EA">
              <w:rPr>
                <w:rStyle w:val="a8"/>
                <w:rFonts w:ascii="宋体" w:hAnsi="宋体" w:hint="eastAsia"/>
                <w:bCs/>
                <w:noProof/>
              </w:rPr>
              <w:t>（四）人才培养方案</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_Toc435623807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13</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08" w:history="1">
            <w:r w:rsidR="006227EA" w:rsidRPr="006227EA">
              <w:rPr>
                <w:rStyle w:val="a8"/>
                <w:rFonts w:ascii="宋体" w:hAnsi="宋体" w:hint="eastAsia"/>
                <w:bCs/>
                <w:noProof/>
              </w:rPr>
              <w:t>（五）实践教学</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_Toc435623808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14</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809" w:history="1">
            <w:r w:rsidR="006227EA" w:rsidRPr="006227EA">
              <w:rPr>
                <w:rStyle w:val="a8"/>
                <w:rFonts w:ascii="宋体" w:hAnsi="宋体" w:hint="eastAsia"/>
                <w:bCs/>
                <w:noProof/>
                <w:kern w:val="44"/>
              </w:rPr>
              <w:t>四、</w:t>
            </w:r>
            <w:r w:rsidR="006227EA" w:rsidRPr="006227EA">
              <w:rPr>
                <w:rStyle w:val="a8"/>
                <w:rFonts w:ascii="宋体" w:hAnsi="宋体"/>
                <w:bCs/>
                <w:noProof/>
                <w:kern w:val="44"/>
              </w:rPr>
              <w:t xml:space="preserve"> </w:t>
            </w:r>
            <w:r w:rsidR="006227EA" w:rsidRPr="006227EA">
              <w:rPr>
                <w:rStyle w:val="a8"/>
                <w:rFonts w:ascii="宋体" w:hAnsi="宋体" w:hint="eastAsia"/>
                <w:bCs/>
                <w:noProof/>
                <w:kern w:val="44"/>
              </w:rPr>
              <w:t>质量保障体系</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_Toc435623809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16</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0" w:history="1">
            <w:r w:rsidR="006227EA" w:rsidRPr="006227EA">
              <w:rPr>
                <w:rStyle w:val="a8"/>
                <w:rFonts w:ascii="宋体" w:hAnsi="宋体" w:hint="eastAsia"/>
                <w:bCs/>
                <w:noProof/>
              </w:rPr>
              <w:t>（一）健全教学管理规章制度</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_Toc435623810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16</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1" w:history="1">
            <w:r w:rsidR="006227EA" w:rsidRPr="006227EA">
              <w:rPr>
                <w:rStyle w:val="a8"/>
                <w:rFonts w:ascii="宋体" w:hAnsi="宋体" w:hint="eastAsia"/>
                <w:bCs/>
                <w:noProof/>
              </w:rPr>
              <w:t>（二）加强教学质量监控体系建设</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_Toc435623811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16</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2" w:history="1">
            <w:r w:rsidR="006227EA" w:rsidRPr="006227EA">
              <w:rPr>
                <w:rStyle w:val="a8"/>
                <w:rFonts w:ascii="宋体" w:hAnsi="宋体" w:hint="eastAsia"/>
                <w:bCs/>
                <w:noProof/>
              </w:rPr>
              <w:t>（三）以评促建，进一步提高教学工作水平</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_Toc435623812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17</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813" w:history="1">
            <w:r w:rsidR="006227EA" w:rsidRPr="006227EA">
              <w:rPr>
                <w:rStyle w:val="a8"/>
                <w:rFonts w:ascii="宋体" w:hAnsi="宋体" w:hint="eastAsia"/>
                <w:bCs/>
                <w:noProof/>
                <w:kern w:val="44"/>
              </w:rPr>
              <w:t>五、学生学习效果</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_Toc435623813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17</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4" w:history="1">
            <w:r w:rsidR="006227EA" w:rsidRPr="006227EA">
              <w:rPr>
                <w:rStyle w:val="a8"/>
                <w:rFonts w:ascii="宋体" w:hAnsi="宋体" w:hint="eastAsia"/>
                <w:bCs/>
                <w:noProof/>
              </w:rPr>
              <w:t>（一）学生学习满意度</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_Toc435623814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17</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5" w:history="1">
            <w:r w:rsidR="006227EA" w:rsidRPr="006227EA">
              <w:rPr>
                <w:rStyle w:val="a8"/>
                <w:rFonts w:ascii="宋体" w:hAnsi="宋体" w:hint="eastAsia"/>
                <w:bCs/>
                <w:noProof/>
              </w:rPr>
              <w:t>（二）本科生毕业、学位授予和就业情况</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_Toc435623815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17</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6" w:history="1">
            <w:r w:rsidR="006227EA" w:rsidRPr="006227EA">
              <w:rPr>
                <w:rStyle w:val="a8"/>
                <w:rFonts w:ascii="宋体" w:hAnsi="宋体" w:hint="eastAsia"/>
                <w:bCs/>
                <w:noProof/>
              </w:rPr>
              <w:t>（三）大学生创新创业教育</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_Toc435623816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18</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7" w:history="1">
            <w:r w:rsidR="006227EA" w:rsidRPr="006227EA">
              <w:rPr>
                <w:rStyle w:val="a8"/>
                <w:rFonts w:ascii="宋体" w:hAnsi="宋体" w:hint="eastAsia"/>
                <w:bCs/>
                <w:noProof/>
              </w:rPr>
              <w:t>（四）学科竞赛活动</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_Toc435623817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20</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818" w:history="1">
            <w:r w:rsidR="006227EA" w:rsidRPr="006227EA">
              <w:rPr>
                <w:rStyle w:val="a8"/>
                <w:rFonts w:ascii="宋体" w:hAnsi="宋体" w:hint="eastAsia"/>
                <w:bCs/>
                <w:noProof/>
                <w:kern w:val="44"/>
              </w:rPr>
              <w:t>六、特色发展</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_Toc435623818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20</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19" w:history="1">
            <w:r w:rsidR="006227EA" w:rsidRPr="006227EA">
              <w:rPr>
                <w:rStyle w:val="a8"/>
                <w:rFonts w:ascii="宋体" w:hAnsi="宋体" w:hint="eastAsia"/>
                <w:bCs/>
                <w:noProof/>
              </w:rPr>
              <w:t>（一）专业设置紧紧围绕区域经济社会发展</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_Toc435623819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20</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20" w:history="1">
            <w:r w:rsidR="006227EA" w:rsidRPr="006227EA">
              <w:rPr>
                <w:rStyle w:val="a8"/>
                <w:rFonts w:ascii="宋体" w:hAnsi="宋体" w:hint="eastAsia"/>
                <w:bCs/>
                <w:noProof/>
              </w:rPr>
              <w:t>（二）实践实训教学体系和学科竞赛成果助力应用型人才培养</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_Toc435623820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20</w:t>
            </w:r>
            <w:r w:rsidRPr="006227EA">
              <w:rPr>
                <w:rFonts w:ascii="宋体" w:hAnsi="宋体"/>
                <w:noProof/>
                <w:webHidden/>
              </w:rPr>
              <w:fldChar w:fldCharType="end"/>
            </w:r>
          </w:hyperlink>
        </w:p>
        <w:p w:rsidR="006227EA" w:rsidRPr="006227EA" w:rsidRDefault="0086746D">
          <w:pPr>
            <w:pStyle w:val="20"/>
            <w:rPr>
              <w:rFonts w:ascii="宋体" w:hAnsi="宋体" w:cstheme="minorBidi"/>
              <w:noProof/>
              <w:szCs w:val="22"/>
            </w:rPr>
          </w:pPr>
          <w:hyperlink w:anchor="_Toc435623821" w:history="1">
            <w:r w:rsidR="006227EA" w:rsidRPr="006227EA">
              <w:rPr>
                <w:rStyle w:val="a8"/>
                <w:rFonts w:ascii="宋体" w:hAnsi="宋体" w:hint="eastAsia"/>
                <w:bCs/>
                <w:noProof/>
              </w:rPr>
              <w:t>（三）以“开放办学”战略为指导，积极拓展合作办学空间</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_Toc435623821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21</w:t>
            </w:r>
            <w:r w:rsidRPr="006227EA">
              <w:rPr>
                <w:rFonts w:ascii="宋体" w:hAnsi="宋体"/>
                <w:noProof/>
                <w:webHidden/>
              </w:rPr>
              <w:fldChar w:fldCharType="end"/>
            </w:r>
          </w:hyperlink>
        </w:p>
        <w:p w:rsidR="006227EA" w:rsidRPr="006227EA" w:rsidRDefault="0086746D">
          <w:pPr>
            <w:pStyle w:val="10"/>
            <w:tabs>
              <w:tab w:val="right" w:leader="dot" w:pos="8296"/>
            </w:tabs>
            <w:rPr>
              <w:rFonts w:ascii="宋体" w:hAnsi="宋体" w:cstheme="minorBidi"/>
              <w:noProof/>
              <w:szCs w:val="22"/>
            </w:rPr>
          </w:pPr>
          <w:hyperlink w:anchor="_Toc435623822" w:history="1">
            <w:r w:rsidR="006227EA" w:rsidRPr="006227EA">
              <w:rPr>
                <w:rStyle w:val="a8"/>
                <w:rFonts w:ascii="宋体" w:hAnsi="宋体" w:hint="eastAsia"/>
                <w:bCs/>
                <w:noProof/>
                <w:kern w:val="44"/>
              </w:rPr>
              <w:t>七、存在的主要问题及对策分析</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_Toc435623822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22</w:t>
            </w:r>
            <w:r w:rsidRPr="006227EA">
              <w:rPr>
                <w:rFonts w:ascii="宋体" w:hAnsi="宋体"/>
                <w:noProof/>
                <w:webHidden/>
              </w:rPr>
              <w:fldChar w:fldCharType="end"/>
            </w:r>
          </w:hyperlink>
        </w:p>
        <w:p w:rsidR="006227EA" w:rsidRDefault="0086746D">
          <w:pPr>
            <w:pStyle w:val="10"/>
            <w:tabs>
              <w:tab w:val="right" w:leader="dot" w:pos="8296"/>
            </w:tabs>
            <w:rPr>
              <w:rFonts w:asciiTheme="minorHAnsi" w:eastAsiaTheme="minorEastAsia" w:hAnsiTheme="minorHAnsi" w:cstheme="minorBidi"/>
              <w:noProof/>
              <w:szCs w:val="22"/>
            </w:rPr>
          </w:pPr>
          <w:hyperlink w:anchor="_Toc435623823" w:history="1">
            <w:r w:rsidR="006227EA" w:rsidRPr="006227EA">
              <w:rPr>
                <w:rStyle w:val="a8"/>
                <w:rFonts w:ascii="宋体" w:hAnsi="宋体" w:hint="eastAsia"/>
                <w:noProof/>
              </w:rPr>
              <w:t>附：福州大学至诚学院</w:t>
            </w:r>
            <w:r w:rsidR="006227EA" w:rsidRPr="006227EA">
              <w:rPr>
                <w:rStyle w:val="a8"/>
                <w:rFonts w:ascii="宋体" w:hAnsi="宋体"/>
                <w:noProof/>
              </w:rPr>
              <w:t>2014</w:t>
            </w:r>
            <w:r w:rsidR="006227EA" w:rsidRPr="006227EA">
              <w:rPr>
                <w:rStyle w:val="a8"/>
                <w:rFonts w:ascii="宋体" w:hAnsi="宋体" w:hint="eastAsia"/>
                <w:noProof/>
              </w:rPr>
              <w:t>年本科教学质量报告支撑数据</w:t>
            </w:r>
            <w:r w:rsidR="006227EA" w:rsidRPr="006227EA">
              <w:rPr>
                <w:rFonts w:ascii="宋体" w:hAnsi="宋体"/>
                <w:noProof/>
                <w:webHidden/>
              </w:rPr>
              <w:tab/>
            </w:r>
            <w:r w:rsidRPr="006227EA">
              <w:rPr>
                <w:rFonts w:ascii="宋体" w:hAnsi="宋体"/>
                <w:noProof/>
                <w:webHidden/>
              </w:rPr>
              <w:fldChar w:fldCharType="begin"/>
            </w:r>
            <w:r w:rsidR="006227EA" w:rsidRPr="006227EA">
              <w:rPr>
                <w:rFonts w:ascii="宋体" w:hAnsi="宋体"/>
                <w:noProof/>
                <w:webHidden/>
              </w:rPr>
              <w:instrText xml:space="preserve"> PAGEREF _Toc435623823 \h </w:instrText>
            </w:r>
            <w:r w:rsidRPr="006227EA">
              <w:rPr>
                <w:rFonts w:ascii="宋体" w:hAnsi="宋体"/>
                <w:noProof/>
                <w:webHidden/>
              </w:rPr>
            </w:r>
            <w:r w:rsidRPr="006227EA">
              <w:rPr>
                <w:rFonts w:ascii="宋体" w:hAnsi="宋体"/>
                <w:noProof/>
                <w:webHidden/>
              </w:rPr>
              <w:fldChar w:fldCharType="separate"/>
            </w:r>
            <w:r w:rsidR="00817BF4">
              <w:rPr>
                <w:rFonts w:ascii="宋体" w:hAnsi="宋体"/>
                <w:noProof/>
                <w:webHidden/>
              </w:rPr>
              <w:t>23</w:t>
            </w:r>
            <w:r w:rsidRPr="006227EA">
              <w:rPr>
                <w:rFonts w:ascii="宋体" w:hAnsi="宋体"/>
                <w:noProof/>
                <w:webHidden/>
              </w:rPr>
              <w:fldChar w:fldCharType="end"/>
            </w:r>
          </w:hyperlink>
        </w:p>
        <w:p w:rsidR="0089285E" w:rsidRDefault="0086746D">
          <w:r w:rsidRPr="0089285E">
            <w:rPr>
              <w:rFonts w:ascii="宋体" w:hAnsi="宋体"/>
            </w:rPr>
            <w:fldChar w:fldCharType="end"/>
          </w:r>
        </w:p>
      </w:sdtContent>
    </w:sdt>
    <w:p w:rsidR="0089285E" w:rsidRDefault="0089285E"/>
    <w:p w:rsidR="0089285E" w:rsidRDefault="0089285E">
      <w:pPr>
        <w:sectPr w:rsidR="0089285E" w:rsidSect="0089285E">
          <w:footerReference w:type="default" r:id="rId14"/>
          <w:pgSz w:w="11906" w:h="16838"/>
          <w:pgMar w:top="1440" w:right="1800" w:bottom="1440" w:left="1800" w:header="851" w:footer="992" w:gutter="0"/>
          <w:pgNumType w:fmt="upperRoman" w:start="1"/>
          <w:cols w:space="425"/>
          <w:docGrid w:type="lines" w:linePitch="312"/>
        </w:sectPr>
      </w:pPr>
    </w:p>
    <w:p w:rsidR="0089285E" w:rsidRDefault="0089285E"/>
    <w:p w:rsidR="00683C33" w:rsidRPr="0089285E" w:rsidRDefault="00683C33" w:rsidP="001D0C9E">
      <w:pPr>
        <w:jc w:val="center"/>
        <w:outlineLvl w:val="0"/>
        <w:rPr>
          <w:rFonts w:ascii="黑体" w:eastAsia="黑体"/>
          <w:bCs/>
          <w:kern w:val="44"/>
          <w:sz w:val="30"/>
          <w:szCs w:val="30"/>
        </w:rPr>
      </w:pPr>
      <w:bookmarkStart w:id="3" w:name="_Toc435622735"/>
      <w:bookmarkStart w:id="4" w:name="_Toc435623793"/>
      <w:r w:rsidRPr="0089285E">
        <w:rPr>
          <w:rFonts w:ascii="黑体" w:eastAsia="黑体" w:hint="eastAsia"/>
          <w:bCs/>
          <w:kern w:val="44"/>
          <w:sz w:val="30"/>
          <w:szCs w:val="30"/>
        </w:rPr>
        <w:t>前言</w:t>
      </w:r>
      <w:bookmarkEnd w:id="0"/>
      <w:bookmarkEnd w:id="1"/>
      <w:bookmarkEnd w:id="2"/>
      <w:bookmarkEnd w:id="3"/>
      <w:bookmarkEnd w:id="4"/>
    </w:p>
    <w:p w:rsidR="00683C33" w:rsidRPr="0089285E" w:rsidRDefault="00683C33" w:rsidP="0089285E">
      <w:pPr>
        <w:spacing w:line="400" w:lineRule="exact"/>
        <w:ind w:firstLineChars="200" w:firstLine="480"/>
        <w:rPr>
          <w:rFonts w:ascii="宋体" w:hAnsi="宋体" w:cs="Arial"/>
          <w:sz w:val="24"/>
        </w:rPr>
      </w:pPr>
      <w:bookmarkStart w:id="5" w:name="_Toc401687535"/>
      <w:bookmarkStart w:id="6" w:name="_Toc403383377"/>
      <w:r w:rsidRPr="00DC26E9">
        <w:rPr>
          <w:rFonts w:ascii="宋体" w:hAnsi="宋体" w:cs="Arial" w:hint="eastAsia"/>
          <w:sz w:val="24"/>
        </w:rPr>
        <w:t>福州大学至诚学院创办于</w:t>
      </w:r>
      <w:r w:rsidRPr="00DC26E9">
        <w:rPr>
          <w:rFonts w:ascii="宋体" w:hAnsi="宋体" w:cs="Arial"/>
          <w:sz w:val="24"/>
        </w:rPr>
        <w:t>2003</w:t>
      </w:r>
      <w:r w:rsidRPr="00DC26E9">
        <w:rPr>
          <w:rFonts w:ascii="宋体" w:hAnsi="宋体" w:cs="Arial" w:hint="eastAsia"/>
          <w:sz w:val="24"/>
        </w:rPr>
        <w:t>年</w:t>
      </w:r>
      <w:r w:rsidRPr="00DC26E9">
        <w:rPr>
          <w:rFonts w:ascii="宋体" w:hAnsi="宋体" w:cs="Arial"/>
          <w:sz w:val="24"/>
        </w:rPr>
        <w:t>7</w:t>
      </w:r>
      <w:r w:rsidRPr="00DC26E9">
        <w:rPr>
          <w:rFonts w:ascii="宋体" w:hAnsi="宋体" w:cs="Arial" w:hint="eastAsia"/>
          <w:sz w:val="24"/>
        </w:rPr>
        <w:t>月，位于福州市鼓楼区杨桥西路</w:t>
      </w:r>
      <w:r w:rsidRPr="00DC26E9">
        <w:rPr>
          <w:rFonts w:ascii="宋体" w:hAnsi="宋体" w:cs="Arial"/>
          <w:sz w:val="24"/>
        </w:rPr>
        <w:t>50</w:t>
      </w:r>
      <w:r w:rsidRPr="00DC26E9">
        <w:rPr>
          <w:rFonts w:ascii="宋体" w:hAnsi="宋体" w:cs="Arial" w:hint="eastAsia"/>
          <w:sz w:val="24"/>
        </w:rPr>
        <w:t>号（福州大学老校区），占地</w:t>
      </w:r>
      <w:r w:rsidRPr="00DC26E9">
        <w:rPr>
          <w:rFonts w:ascii="宋体" w:hAnsi="宋体" w:cs="Arial"/>
          <w:sz w:val="24"/>
        </w:rPr>
        <w:t>600</w:t>
      </w:r>
      <w:r w:rsidRPr="00DC26E9">
        <w:rPr>
          <w:rFonts w:ascii="宋体" w:hAnsi="宋体" w:cs="Arial" w:hint="eastAsia"/>
          <w:sz w:val="24"/>
        </w:rPr>
        <w:t>多亩，是经国家教育部批准，由国家“</w:t>
      </w:r>
      <w:r w:rsidRPr="00DC26E9">
        <w:rPr>
          <w:rFonts w:ascii="宋体" w:hAnsi="宋体" w:cs="Arial"/>
          <w:sz w:val="24"/>
        </w:rPr>
        <w:t>211</w:t>
      </w:r>
      <w:r w:rsidRPr="00DC26E9">
        <w:rPr>
          <w:rFonts w:ascii="宋体" w:hAnsi="宋体" w:cs="Arial" w:hint="eastAsia"/>
          <w:sz w:val="24"/>
        </w:rPr>
        <w:t>工程”重点建设高校</w:t>
      </w:r>
      <w:r w:rsidRPr="00DC26E9">
        <w:rPr>
          <w:rFonts w:ascii="宋体" w:hAnsi="宋体" w:cs="Arial"/>
          <w:sz w:val="24"/>
        </w:rPr>
        <w:t>——</w:t>
      </w:r>
      <w:r w:rsidRPr="00DC26E9">
        <w:rPr>
          <w:rFonts w:ascii="宋体" w:hAnsi="宋体" w:cs="Arial" w:hint="eastAsia"/>
          <w:sz w:val="24"/>
        </w:rPr>
        <w:t>福州大学和福州大学资产经营公司利用非国家财政性经费共同举办，并按新机制、新模式运作，实施全日制本科学历教育的高等学校。学院设有包含</w:t>
      </w:r>
      <w:r w:rsidRPr="00DC26E9">
        <w:rPr>
          <w:rFonts w:ascii="宋体" w:hAnsi="宋体" w:cs="Arial"/>
          <w:sz w:val="24"/>
        </w:rPr>
        <w:t>16</w:t>
      </w:r>
      <w:r w:rsidRPr="00DC26E9">
        <w:rPr>
          <w:rFonts w:ascii="宋体" w:hAnsi="宋体" w:cs="Arial" w:hint="eastAsia"/>
          <w:sz w:val="24"/>
        </w:rPr>
        <w:t>个系、</w:t>
      </w:r>
      <w:r w:rsidRPr="00DC26E9">
        <w:rPr>
          <w:rFonts w:ascii="宋体" w:hAnsi="宋体" w:cs="Arial"/>
          <w:sz w:val="24"/>
        </w:rPr>
        <w:t>1</w:t>
      </w:r>
      <w:r w:rsidRPr="00DC26E9">
        <w:rPr>
          <w:rFonts w:ascii="宋体" w:hAnsi="宋体" w:cs="Arial" w:hint="eastAsia"/>
          <w:sz w:val="24"/>
        </w:rPr>
        <w:t>个教学研究部和</w:t>
      </w:r>
      <w:r w:rsidRPr="00DC26E9">
        <w:rPr>
          <w:rFonts w:ascii="宋体" w:hAnsi="宋体" w:cs="Arial"/>
          <w:sz w:val="24"/>
        </w:rPr>
        <w:t>1</w:t>
      </w:r>
      <w:r w:rsidRPr="00DC26E9">
        <w:rPr>
          <w:rFonts w:ascii="宋体" w:hAnsi="宋体" w:cs="Arial" w:hint="eastAsia"/>
          <w:sz w:val="24"/>
        </w:rPr>
        <w:t>个教研室在内的</w:t>
      </w:r>
      <w:r w:rsidRPr="00DC26E9">
        <w:rPr>
          <w:rFonts w:ascii="宋体" w:hAnsi="宋体" w:cs="Arial"/>
          <w:sz w:val="24"/>
        </w:rPr>
        <w:t>18</w:t>
      </w:r>
      <w:r w:rsidRPr="00DC26E9">
        <w:rPr>
          <w:rFonts w:ascii="宋体" w:hAnsi="宋体" w:cs="Arial" w:hint="eastAsia"/>
          <w:sz w:val="24"/>
        </w:rPr>
        <w:t>个教学单位。截止</w:t>
      </w:r>
      <w:r w:rsidRPr="00DC26E9">
        <w:rPr>
          <w:rFonts w:ascii="宋体" w:hAnsi="宋体" w:cs="Arial"/>
          <w:sz w:val="24"/>
        </w:rPr>
        <w:t>2015</w:t>
      </w:r>
      <w:r w:rsidRPr="00DC26E9">
        <w:rPr>
          <w:rFonts w:ascii="宋体" w:hAnsi="宋体" w:cs="Arial" w:hint="eastAsia"/>
          <w:sz w:val="24"/>
        </w:rPr>
        <w:t>年</w:t>
      </w:r>
      <w:r w:rsidR="00B550F1">
        <w:rPr>
          <w:rFonts w:ascii="宋体" w:hAnsi="宋体" w:cs="Arial" w:hint="eastAsia"/>
          <w:sz w:val="24"/>
        </w:rPr>
        <w:t>9月</w:t>
      </w:r>
      <w:r w:rsidRPr="00DC26E9">
        <w:rPr>
          <w:rFonts w:ascii="宋体" w:hAnsi="宋体" w:cs="Arial" w:hint="eastAsia"/>
          <w:sz w:val="24"/>
        </w:rPr>
        <w:t>，学院共有</w:t>
      </w:r>
      <w:r w:rsidRPr="00DC26E9">
        <w:rPr>
          <w:rFonts w:ascii="宋体" w:hAnsi="宋体" w:cs="Arial"/>
          <w:sz w:val="24"/>
        </w:rPr>
        <w:t>45</w:t>
      </w:r>
      <w:r w:rsidRPr="00DC26E9">
        <w:rPr>
          <w:rFonts w:ascii="宋体" w:hAnsi="宋体" w:cs="Arial" w:hint="eastAsia"/>
          <w:sz w:val="24"/>
        </w:rPr>
        <w:t>个本科专业（其中含</w:t>
      </w:r>
      <w:r w:rsidRPr="00DC26E9">
        <w:rPr>
          <w:rFonts w:ascii="宋体" w:hAnsi="宋体" w:cs="Arial"/>
          <w:sz w:val="24"/>
        </w:rPr>
        <w:t>2</w:t>
      </w:r>
      <w:r w:rsidRPr="00DC26E9">
        <w:rPr>
          <w:rFonts w:ascii="宋体" w:hAnsi="宋体" w:cs="Arial" w:hint="eastAsia"/>
          <w:sz w:val="24"/>
        </w:rPr>
        <w:t>个专升本招生专业），拥有全日制在校本科生</w:t>
      </w:r>
      <w:r w:rsidRPr="00DC26E9">
        <w:rPr>
          <w:rFonts w:ascii="宋体" w:hAnsi="宋体" w:cs="Arial"/>
          <w:sz w:val="24"/>
        </w:rPr>
        <w:t>11753</w:t>
      </w:r>
      <w:r w:rsidRPr="00DC26E9">
        <w:rPr>
          <w:rFonts w:ascii="宋体" w:hAnsi="宋体" w:cs="Arial" w:hint="eastAsia"/>
          <w:sz w:val="24"/>
        </w:rPr>
        <w:t>人，专任教师</w:t>
      </w:r>
      <w:r w:rsidRPr="00DC26E9">
        <w:rPr>
          <w:rFonts w:ascii="宋体" w:hAnsi="宋体" w:cs="Arial"/>
          <w:sz w:val="24"/>
        </w:rPr>
        <w:t>1148</w:t>
      </w:r>
      <w:r w:rsidRPr="00DC26E9">
        <w:rPr>
          <w:rFonts w:ascii="宋体" w:hAnsi="宋体" w:cs="Arial" w:hint="eastAsia"/>
          <w:sz w:val="24"/>
        </w:rPr>
        <w:t>人。</w:t>
      </w:r>
    </w:p>
    <w:p w:rsidR="00683C33" w:rsidRPr="0089285E" w:rsidRDefault="00683C33" w:rsidP="0089285E">
      <w:pPr>
        <w:spacing w:line="400" w:lineRule="exact"/>
        <w:ind w:firstLineChars="200" w:firstLine="480"/>
        <w:rPr>
          <w:rFonts w:ascii="宋体" w:hAnsi="宋体" w:cs="Arial"/>
          <w:sz w:val="24"/>
        </w:rPr>
      </w:pPr>
      <w:r w:rsidRPr="00DC26E9">
        <w:rPr>
          <w:rFonts w:ascii="宋体" w:hAnsi="宋体" w:cs="Arial" w:hint="eastAsia"/>
          <w:sz w:val="24"/>
        </w:rPr>
        <w:t>人才培养质量是高等教育的生命线，提高教育教学质量是高等学校的永恒主题，建立健全长效性质量保障体系与监控机制是提高教育教学质量的有效途径。为贯彻国家和福建省中长期教育改革与发展规划纲要精神，根据《</w:t>
      </w:r>
      <w:r w:rsidR="00D112BA">
        <w:rPr>
          <w:rFonts w:ascii="宋体" w:hAnsi="宋体" w:cs="Arial" w:hint="eastAsia"/>
          <w:sz w:val="24"/>
        </w:rPr>
        <w:t>福建省教育评估研究中心关于普通高等学校编制发布2014年本科教学质量报告的通知</w:t>
      </w:r>
      <w:r w:rsidRPr="00DC26E9">
        <w:rPr>
          <w:rFonts w:ascii="宋体" w:hAnsi="宋体" w:cs="Arial" w:hint="eastAsia"/>
          <w:sz w:val="24"/>
        </w:rPr>
        <w:t>》</w:t>
      </w:r>
      <w:r w:rsidRPr="00E970CA">
        <w:rPr>
          <w:rFonts w:ascii="宋体" w:hAnsi="宋体" w:cs="Arial" w:hint="eastAsia"/>
          <w:sz w:val="24"/>
        </w:rPr>
        <w:t>（</w:t>
      </w:r>
      <w:r w:rsidR="00D112BA">
        <w:rPr>
          <w:rFonts w:ascii="宋体" w:hAnsi="宋体" w:cs="Arial" w:hint="eastAsia"/>
          <w:sz w:val="24"/>
        </w:rPr>
        <w:t>闽教评中心</w:t>
      </w:r>
      <w:r w:rsidRPr="00E970CA">
        <w:rPr>
          <w:rFonts w:ascii="宋体" w:hAnsi="宋体" w:cs="Arial" w:hint="eastAsia"/>
          <w:sz w:val="24"/>
        </w:rPr>
        <w:t>〔</w:t>
      </w:r>
      <w:r w:rsidRPr="00E970CA">
        <w:rPr>
          <w:rFonts w:ascii="宋体" w:hAnsi="宋体" w:cs="Arial"/>
          <w:sz w:val="24"/>
        </w:rPr>
        <w:t>2015</w:t>
      </w:r>
      <w:r w:rsidRPr="00E970CA">
        <w:rPr>
          <w:rFonts w:ascii="宋体" w:hAnsi="宋体" w:cs="Arial" w:hint="eastAsia"/>
          <w:sz w:val="24"/>
        </w:rPr>
        <w:t>〕</w:t>
      </w:r>
      <w:r w:rsidR="00D112BA">
        <w:rPr>
          <w:rFonts w:ascii="宋体" w:hAnsi="宋体" w:cs="Arial" w:hint="eastAsia"/>
          <w:sz w:val="24"/>
        </w:rPr>
        <w:t>21</w:t>
      </w:r>
      <w:r w:rsidRPr="00E970CA">
        <w:rPr>
          <w:rFonts w:ascii="宋体" w:hAnsi="宋体" w:cs="Arial" w:hint="eastAsia"/>
          <w:sz w:val="24"/>
        </w:rPr>
        <w:t>号）</w:t>
      </w:r>
      <w:r w:rsidRPr="00DC26E9">
        <w:rPr>
          <w:rFonts w:ascii="宋体" w:hAnsi="宋体" w:cs="Arial" w:hint="eastAsia"/>
          <w:sz w:val="24"/>
        </w:rPr>
        <w:t>文件精神，编制发布</w:t>
      </w:r>
      <w:r w:rsidRPr="00DC26E9">
        <w:rPr>
          <w:rFonts w:ascii="宋体" w:hAnsi="宋体" w:cs="Arial"/>
          <w:sz w:val="24"/>
        </w:rPr>
        <w:t>2014</w:t>
      </w:r>
      <w:r w:rsidRPr="00DC26E9">
        <w:rPr>
          <w:rFonts w:ascii="宋体" w:hAnsi="宋体" w:cs="Arial" w:hint="eastAsia"/>
          <w:sz w:val="24"/>
        </w:rPr>
        <w:t>年度本科教学质量报告，向社会展示学校风貌和办学特色、宣传办学理念和教学成果，进一步担当社会责任，回应社会关切，为国家、省级教育主管部门及有关专门机构的质量监控工作提供重要依据，为社会了解学校提供基本途径。</w:t>
      </w:r>
    </w:p>
    <w:p w:rsidR="00683C33" w:rsidRPr="00B6355B" w:rsidRDefault="00683C33" w:rsidP="0089285E">
      <w:pPr>
        <w:jc w:val="left"/>
        <w:outlineLvl w:val="0"/>
        <w:rPr>
          <w:rFonts w:ascii="黑体" w:eastAsia="黑体"/>
          <w:bCs/>
          <w:kern w:val="44"/>
          <w:sz w:val="30"/>
          <w:szCs w:val="30"/>
        </w:rPr>
      </w:pPr>
      <w:bookmarkStart w:id="7" w:name="_Toc435622736"/>
      <w:bookmarkStart w:id="8" w:name="_Toc435623794"/>
      <w:bookmarkEnd w:id="5"/>
      <w:bookmarkEnd w:id="6"/>
      <w:r w:rsidRPr="00B6355B">
        <w:rPr>
          <w:rFonts w:ascii="黑体" w:eastAsia="黑体" w:hint="eastAsia"/>
          <w:bCs/>
          <w:kern w:val="44"/>
          <w:sz w:val="30"/>
          <w:szCs w:val="30"/>
        </w:rPr>
        <w:t>一、本科教育基本情况</w:t>
      </w:r>
      <w:bookmarkEnd w:id="7"/>
      <w:bookmarkEnd w:id="8"/>
    </w:p>
    <w:p w:rsidR="00683C33" w:rsidRPr="00B6355B" w:rsidRDefault="00683C33" w:rsidP="0089285E">
      <w:pPr>
        <w:jc w:val="left"/>
        <w:outlineLvl w:val="1"/>
        <w:rPr>
          <w:rFonts w:ascii="黑体" w:eastAsia="黑体" w:hAnsi="宋体"/>
          <w:bCs/>
          <w:sz w:val="28"/>
          <w:szCs w:val="28"/>
        </w:rPr>
      </w:pPr>
      <w:bookmarkStart w:id="9" w:name="_Toc435622737"/>
      <w:bookmarkStart w:id="10" w:name="_Toc435623795"/>
      <w:r w:rsidRPr="00B6355B">
        <w:rPr>
          <w:rFonts w:ascii="黑体" w:eastAsia="黑体" w:hAnsi="宋体" w:hint="eastAsia"/>
          <w:bCs/>
          <w:sz w:val="28"/>
          <w:szCs w:val="28"/>
        </w:rPr>
        <w:t>（一）办学定位与思路</w:t>
      </w:r>
      <w:bookmarkEnd w:id="9"/>
      <w:bookmarkEnd w:id="10"/>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t>学院的办学定位为：以本科为主体的多层次教育体系。形成以工为主，兼有经、管、文、艺、理等应用型、多学科协调发展的办学格局。以专业知识与技能学习为重点，以认知能力、学习能力、研究能力和应用能力培养为导向，为区域经济社会发展培养科学精神与人文素养兼备的应用型专门人才。</w:t>
      </w:r>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t>围绕学校定位，学院的办学思路为：遵循“明德博学，臻于至善”的院训，视质量为生命线，强化内涵建设，严谨治学，科学办校。依托母体学校，坚持系统开放，整合社会各类办学资源，不断创新办学模式与机制，打造特色，推动学院各项事业持续、稳健、跨越式发展。</w:t>
      </w:r>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t>建高水平、高质量、有特色、有影响的一流应用技术大学，是学院提出的战略目标。为此，学院提出战略发展三阶段，即：</w:t>
      </w:r>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t>第一阶段：创建阶段（</w:t>
      </w:r>
      <w:r w:rsidRPr="00D07C88">
        <w:rPr>
          <w:rFonts w:ascii="宋体" w:hAnsi="宋体" w:cs="Arial"/>
          <w:sz w:val="24"/>
        </w:rPr>
        <w:t>2003——2011</w:t>
      </w:r>
      <w:r w:rsidRPr="00D07C88">
        <w:rPr>
          <w:rFonts w:ascii="宋体" w:hAnsi="宋体" w:cs="Arial" w:hint="eastAsia"/>
          <w:sz w:val="24"/>
        </w:rPr>
        <w:t>年），基本特征：一是教学环境的改良与完善，包括：教室、实验实训中心、图书馆、学生体育锻炼和活动场所、学生宿舍、学生食堂、行政办公场所、校园环境等。二是学生培养组织模式、学校运行机制形成与规范、先进校园文化的形成与完善。三是教学过程的规范与创新。</w:t>
      </w:r>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lastRenderedPageBreak/>
        <w:t>第二阶段：教学型阶段（</w:t>
      </w:r>
      <w:r w:rsidRPr="00D07C88">
        <w:rPr>
          <w:rFonts w:ascii="宋体" w:hAnsi="宋体" w:cs="Arial"/>
          <w:sz w:val="24"/>
        </w:rPr>
        <w:t>2012——2015</w:t>
      </w:r>
      <w:r w:rsidRPr="00D07C88">
        <w:rPr>
          <w:rFonts w:ascii="宋体" w:hAnsi="宋体" w:cs="Arial" w:hint="eastAsia"/>
          <w:sz w:val="24"/>
        </w:rPr>
        <w:t>），基本特征：以质量提升为导向，以内涵建设为重点，通过内涵建设与创新，推动至诚品牌的形成。构建完善的行政、教学、后勤管理系统，拥有高素质的教学与管理团队、高效的运行模式与机制。</w:t>
      </w:r>
    </w:p>
    <w:p w:rsidR="00683C33" w:rsidRPr="00D07C88" w:rsidRDefault="00683C33" w:rsidP="00683C33">
      <w:pPr>
        <w:spacing w:line="400" w:lineRule="exact"/>
        <w:ind w:firstLineChars="200" w:firstLine="480"/>
        <w:rPr>
          <w:rFonts w:ascii="宋体" w:cs="Arial"/>
          <w:sz w:val="24"/>
        </w:rPr>
      </w:pPr>
      <w:r w:rsidRPr="00D07C88">
        <w:rPr>
          <w:rFonts w:ascii="宋体" w:hAnsi="宋体" w:cs="Arial" w:hint="eastAsia"/>
          <w:sz w:val="24"/>
        </w:rPr>
        <w:t>第三阶段：教学应用型阶段（</w:t>
      </w:r>
      <w:r w:rsidRPr="00D07C88">
        <w:rPr>
          <w:rFonts w:ascii="宋体" w:hAnsi="宋体" w:cs="Arial"/>
          <w:sz w:val="24"/>
        </w:rPr>
        <w:t>2015——</w:t>
      </w:r>
      <w:r w:rsidRPr="00D07C88">
        <w:rPr>
          <w:rFonts w:ascii="宋体" w:hAnsi="宋体" w:cs="Arial" w:hint="eastAsia"/>
          <w:sz w:val="24"/>
        </w:rPr>
        <w:t>），基本特征：拥有一支高水平的应用型师资队伍和一批高水平的研究人员，建立起若干以应用研究为重点的研究机构，拥有若干专业硕士授予权。教学、科研、社会服务、文化传承与创新等大学功能形成和完善。建成一所具有工科特色的、富有区域影响力的一流应用技术大学。</w:t>
      </w:r>
    </w:p>
    <w:p w:rsidR="00683C33" w:rsidRPr="0089285E" w:rsidRDefault="00683C33" w:rsidP="0089285E">
      <w:pPr>
        <w:jc w:val="left"/>
        <w:outlineLvl w:val="1"/>
        <w:rPr>
          <w:rFonts w:ascii="黑体" w:eastAsia="黑体" w:hAnsi="宋体"/>
          <w:bCs/>
          <w:sz w:val="28"/>
          <w:szCs w:val="28"/>
        </w:rPr>
      </w:pPr>
      <w:bookmarkStart w:id="11" w:name="_Toc435622738"/>
      <w:bookmarkStart w:id="12" w:name="_Toc435623796"/>
      <w:r w:rsidRPr="0089285E">
        <w:rPr>
          <w:rFonts w:ascii="黑体" w:eastAsia="黑体" w:hAnsi="宋体" w:hint="eastAsia"/>
          <w:bCs/>
          <w:sz w:val="28"/>
          <w:szCs w:val="28"/>
        </w:rPr>
        <w:t>（二）本科专业设置情况</w:t>
      </w:r>
      <w:bookmarkEnd w:id="11"/>
      <w:bookmarkEnd w:id="12"/>
    </w:p>
    <w:p w:rsidR="00683C33" w:rsidRPr="00D07C88" w:rsidRDefault="00683C33" w:rsidP="008E3EB4">
      <w:pPr>
        <w:spacing w:line="400" w:lineRule="exact"/>
        <w:ind w:right="141" w:firstLineChars="200" w:firstLine="480"/>
        <w:rPr>
          <w:rFonts w:ascii="宋体" w:cs="Arial"/>
          <w:sz w:val="24"/>
        </w:rPr>
      </w:pPr>
      <w:r w:rsidRPr="00D07C88">
        <w:rPr>
          <w:rFonts w:ascii="宋体" w:hAnsi="宋体" w:cs="Arial" w:hint="eastAsia"/>
          <w:sz w:val="24"/>
        </w:rPr>
        <w:t>学院下设</w:t>
      </w:r>
      <w:r w:rsidRPr="00D07C88">
        <w:rPr>
          <w:rFonts w:ascii="宋体" w:hAnsi="宋体" w:cs="Arial"/>
          <w:sz w:val="24"/>
        </w:rPr>
        <w:t>16</w:t>
      </w:r>
      <w:r w:rsidRPr="00D07C88">
        <w:rPr>
          <w:rFonts w:ascii="宋体" w:hAnsi="宋体" w:cs="Arial" w:hint="eastAsia"/>
          <w:sz w:val="24"/>
        </w:rPr>
        <w:t>个系。</w:t>
      </w:r>
      <w:r w:rsidR="00B36956">
        <w:rPr>
          <w:rFonts w:ascii="宋体" w:hAnsi="宋体" w:cs="Arial" w:hint="eastAsia"/>
          <w:sz w:val="24"/>
        </w:rPr>
        <w:t>2015年</w:t>
      </w:r>
      <w:r w:rsidRPr="00D07C88">
        <w:rPr>
          <w:rFonts w:ascii="宋体" w:hAnsi="宋体" w:cs="Arial" w:hint="eastAsia"/>
          <w:sz w:val="24"/>
        </w:rPr>
        <w:t>，各系开设有材料成型及控制工程、材料科学与工程、电气工程及其自动化、自动化、材料化学、过程装备与控制工程</w:t>
      </w:r>
      <w:r w:rsidRPr="00D07C88">
        <w:rPr>
          <w:rFonts w:ascii="宋体" w:hAnsi="宋体" w:cs="Arial"/>
          <w:sz w:val="24"/>
        </w:rPr>
        <w:t xml:space="preserve"> </w:t>
      </w:r>
      <w:r w:rsidRPr="00D07C88">
        <w:rPr>
          <w:rFonts w:ascii="宋体" w:hAnsi="宋体" w:cs="Arial" w:hint="eastAsia"/>
          <w:sz w:val="24"/>
        </w:rPr>
        <w:t>、化学工程与工艺、应用化学、安全工程、环境工程、人文地理与城乡规划、资源环境与城乡规划管理、车辆工程、机械设计制造及其自动化、计算机科学与技术、软件工程、数字媒体技术、网络工程、建筑学、财务管理、国际经济与贸易、金融工程、汉语言文学、生物工程、生物技术、食品科学与工程、工程管理、土木工程、日语、商务英语、英语、物流管理、电子科学与技术、电子信息工程、通信工程、微电子学、微电子科学与工程、音乐学、信息管理与信息系统、行政管理、包装工程、产品设计、工业设计、工业工程和网络与新媒体等</w:t>
      </w:r>
      <w:r w:rsidRPr="00D07C88">
        <w:rPr>
          <w:rFonts w:ascii="宋体" w:hAnsi="宋体" w:cs="Arial"/>
          <w:sz w:val="24"/>
        </w:rPr>
        <w:t>45</w:t>
      </w:r>
      <w:r w:rsidRPr="00D07C88">
        <w:rPr>
          <w:rFonts w:ascii="宋体" w:hAnsi="宋体" w:cs="Arial" w:hint="eastAsia"/>
          <w:sz w:val="24"/>
        </w:rPr>
        <w:t>个本科招生专业，涵盖工学、理学、经济学、管理学、文学、艺术学等多个学科门类。其中：工学类专业</w:t>
      </w:r>
      <w:r w:rsidRPr="00D07C88">
        <w:rPr>
          <w:rFonts w:ascii="宋体" w:hAnsi="宋体" w:cs="Arial"/>
          <w:sz w:val="24"/>
        </w:rPr>
        <w:t>28</w:t>
      </w:r>
      <w:r w:rsidRPr="00D07C88">
        <w:rPr>
          <w:rFonts w:ascii="宋体" w:hAnsi="宋体" w:cs="Arial" w:hint="eastAsia"/>
          <w:sz w:val="24"/>
        </w:rPr>
        <w:t>个、理学类专业</w:t>
      </w:r>
      <w:r w:rsidRPr="00D07C88">
        <w:rPr>
          <w:rFonts w:ascii="宋体" w:hAnsi="宋体" w:cs="Arial"/>
          <w:sz w:val="24"/>
        </w:rPr>
        <w:t>2</w:t>
      </w:r>
      <w:r w:rsidRPr="00D07C88">
        <w:rPr>
          <w:rFonts w:ascii="宋体" w:hAnsi="宋体" w:cs="Arial" w:hint="eastAsia"/>
          <w:sz w:val="24"/>
        </w:rPr>
        <w:t>个、经济类专业</w:t>
      </w:r>
      <w:r w:rsidRPr="00D07C88">
        <w:rPr>
          <w:rFonts w:ascii="宋体" w:hAnsi="宋体" w:cs="Arial"/>
          <w:sz w:val="24"/>
        </w:rPr>
        <w:t>2</w:t>
      </w:r>
      <w:r w:rsidRPr="00D07C88">
        <w:rPr>
          <w:rFonts w:ascii="宋体" w:hAnsi="宋体" w:cs="Arial" w:hint="eastAsia"/>
          <w:sz w:val="24"/>
        </w:rPr>
        <w:t>个、管理类专业</w:t>
      </w:r>
      <w:r w:rsidRPr="00D07C88">
        <w:rPr>
          <w:rFonts w:ascii="宋体" w:hAnsi="宋体" w:cs="Arial"/>
          <w:sz w:val="24"/>
        </w:rPr>
        <w:t>6</w:t>
      </w:r>
      <w:r w:rsidRPr="00D07C88">
        <w:rPr>
          <w:rFonts w:ascii="宋体" w:hAnsi="宋体" w:cs="Arial" w:hint="eastAsia"/>
          <w:sz w:val="24"/>
        </w:rPr>
        <w:t>个、文学类专业</w:t>
      </w:r>
      <w:r w:rsidRPr="00D07C88">
        <w:rPr>
          <w:rFonts w:ascii="宋体" w:hAnsi="宋体" w:cs="Arial"/>
          <w:sz w:val="24"/>
        </w:rPr>
        <w:t>5</w:t>
      </w:r>
      <w:r w:rsidRPr="00D07C88">
        <w:rPr>
          <w:rFonts w:ascii="宋体" w:hAnsi="宋体" w:cs="Arial" w:hint="eastAsia"/>
          <w:sz w:val="24"/>
        </w:rPr>
        <w:t>个、艺术类专业</w:t>
      </w:r>
      <w:r w:rsidRPr="00D07C88">
        <w:rPr>
          <w:rFonts w:ascii="宋体" w:hAnsi="宋体" w:cs="Arial"/>
          <w:sz w:val="24"/>
        </w:rPr>
        <w:t>2</w:t>
      </w:r>
      <w:r w:rsidRPr="00D07C88">
        <w:rPr>
          <w:rFonts w:ascii="宋体" w:hAnsi="宋体" w:cs="Arial" w:hint="eastAsia"/>
          <w:sz w:val="24"/>
        </w:rPr>
        <w:t>个，分别占专业总数的</w:t>
      </w:r>
      <w:r w:rsidRPr="00D07C88">
        <w:rPr>
          <w:rFonts w:ascii="宋体" w:hAnsi="宋体" w:cs="Arial"/>
          <w:sz w:val="24"/>
        </w:rPr>
        <w:t>62.22%</w:t>
      </w:r>
      <w:r w:rsidRPr="00D07C88">
        <w:rPr>
          <w:rFonts w:ascii="宋体" w:hAnsi="宋体" w:cs="Arial" w:hint="eastAsia"/>
          <w:sz w:val="24"/>
        </w:rPr>
        <w:t>、</w:t>
      </w:r>
      <w:r w:rsidRPr="00D07C88">
        <w:rPr>
          <w:rFonts w:ascii="宋体" w:hAnsi="宋体" w:cs="Arial"/>
          <w:sz w:val="24"/>
        </w:rPr>
        <w:t>4.44%</w:t>
      </w:r>
      <w:r w:rsidRPr="00D07C88">
        <w:rPr>
          <w:rFonts w:ascii="宋体" w:hAnsi="宋体" w:cs="Arial" w:hint="eastAsia"/>
          <w:sz w:val="24"/>
        </w:rPr>
        <w:t>、</w:t>
      </w:r>
      <w:r w:rsidRPr="00D07C88">
        <w:rPr>
          <w:rFonts w:ascii="宋体" w:hAnsi="宋体" w:cs="Arial"/>
          <w:sz w:val="24"/>
        </w:rPr>
        <w:t>4.44%</w:t>
      </w:r>
      <w:r w:rsidRPr="00D07C88">
        <w:rPr>
          <w:rFonts w:ascii="宋体" w:hAnsi="宋体" w:cs="Arial" w:hint="eastAsia"/>
          <w:sz w:val="24"/>
        </w:rPr>
        <w:t>、</w:t>
      </w:r>
      <w:r w:rsidRPr="00D07C88">
        <w:rPr>
          <w:rFonts w:ascii="宋体" w:hAnsi="宋体" w:cs="Arial"/>
          <w:sz w:val="24"/>
        </w:rPr>
        <w:t>13.34%</w:t>
      </w:r>
      <w:r w:rsidRPr="00D07C88">
        <w:rPr>
          <w:rFonts w:ascii="宋体" w:hAnsi="宋体" w:cs="Arial" w:hint="eastAsia"/>
          <w:sz w:val="24"/>
        </w:rPr>
        <w:t>、</w:t>
      </w:r>
      <w:r w:rsidRPr="00D07C88">
        <w:rPr>
          <w:rFonts w:ascii="宋体" w:hAnsi="宋体" w:cs="Arial"/>
          <w:sz w:val="24"/>
        </w:rPr>
        <w:t>11.12%</w:t>
      </w:r>
      <w:r w:rsidRPr="00D07C88">
        <w:rPr>
          <w:rFonts w:ascii="宋体" w:hAnsi="宋体" w:cs="Arial" w:hint="eastAsia"/>
          <w:sz w:val="24"/>
        </w:rPr>
        <w:t>、艺术类</w:t>
      </w:r>
      <w:r w:rsidRPr="00D07C88">
        <w:rPr>
          <w:rFonts w:ascii="宋体" w:hAnsi="宋体" w:cs="Arial"/>
          <w:sz w:val="24"/>
        </w:rPr>
        <w:t>4.44%</w:t>
      </w:r>
      <w:r w:rsidRPr="00D07C88">
        <w:rPr>
          <w:rFonts w:ascii="宋体" w:hAnsi="宋体" w:cs="Arial" w:hint="eastAsia"/>
          <w:sz w:val="24"/>
        </w:rPr>
        <w:t>，专业学科门类分布见表</w:t>
      </w:r>
      <w:r w:rsidRPr="00D07C88">
        <w:rPr>
          <w:rFonts w:ascii="宋体" w:hAnsi="宋体" w:cs="Arial"/>
          <w:sz w:val="24"/>
        </w:rPr>
        <w:t>1-1</w:t>
      </w:r>
      <w:r w:rsidRPr="00D07C88">
        <w:rPr>
          <w:rFonts w:ascii="宋体" w:hAnsi="宋体" w:cs="Arial" w:hint="eastAsia"/>
          <w:sz w:val="24"/>
        </w:rPr>
        <w:t>所示，形成了以工为主，兼有经、管、文、艺、理等应用型、多学科协调发展的办学格局。</w:t>
      </w:r>
    </w:p>
    <w:p w:rsidR="00683C33" w:rsidRPr="00715196" w:rsidRDefault="00683C33" w:rsidP="00180B1D">
      <w:pPr>
        <w:spacing w:beforeLines="50"/>
        <w:jc w:val="center"/>
        <w:rPr>
          <w:rFonts w:ascii="宋体" w:cs="Arial"/>
        </w:rPr>
      </w:pPr>
    </w:p>
    <w:p w:rsidR="00683C33" w:rsidRPr="00346CDF" w:rsidRDefault="00683C33" w:rsidP="00180B1D">
      <w:pPr>
        <w:spacing w:beforeLines="50"/>
        <w:jc w:val="center"/>
        <w:rPr>
          <w:rFonts w:ascii="宋体" w:cs="Arial"/>
          <w:szCs w:val="21"/>
        </w:rPr>
      </w:pPr>
      <w:r w:rsidRPr="00346CDF">
        <w:rPr>
          <w:rFonts w:ascii="宋体" w:hAnsi="宋体" w:cs="Arial" w:hint="eastAsia"/>
          <w:szCs w:val="21"/>
        </w:rPr>
        <w:t>表</w:t>
      </w:r>
      <w:r w:rsidRPr="00346CDF">
        <w:rPr>
          <w:rFonts w:ascii="宋体" w:hAnsi="宋体" w:cs="Arial"/>
          <w:szCs w:val="21"/>
        </w:rPr>
        <w:t>1-1  2014</w:t>
      </w:r>
      <w:r w:rsidRPr="00346CDF">
        <w:rPr>
          <w:rFonts w:ascii="宋体" w:hAnsi="宋体" w:cs="Arial" w:hint="eastAsia"/>
          <w:szCs w:val="21"/>
        </w:rPr>
        <w:t>学年本科专业学科门类分布情况表</w:t>
      </w:r>
    </w:p>
    <w:tbl>
      <w:tblPr>
        <w:tblW w:w="6589" w:type="dxa"/>
        <w:jc w:val="center"/>
        <w:tblBorders>
          <w:top w:val="single" w:sz="12" w:space="0" w:color="000000"/>
          <w:bottom w:val="single" w:sz="12" w:space="0" w:color="000000"/>
          <w:insideH w:val="single" w:sz="4" w:space="0" w:color="auto"/>
          <w:insideV w:val="single" w:sz="4" w:space="0" w:color="auto"/>
        </w:tblBorders>
        <w:tblLayout w:type="fixed"/>
        <w:tblLook w:val="00A0"/>
      </w:tblPr>
      <w:tblGrid>
        <w:gridCol w:w="1125"/>
        <w:gridCol w:w="780"/>
        <w:gridCol w:w="780"/>
        <w:gridCol w:w="780"/>
        <w:gridCol w:w="781"/>
        <w:gridCol w:w="781"/>
        <w:gridCol w:w="781"/>
        <w:gridCol w:w="781"/>
      </w:tblGrid>
      <w:tr w:rsidR="00683C33" w:rsidRPr="00D10D84" w:rsidTr="00E00D6E">
        <w:trPr>
          <w:trHeight w:val="326"/>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683C33" w:rsidRPr="00D10D84" w:rsidRDefault="00683C33" w:rsidP="00E00D6E">
            <w:pPr>
              <w:jc w:val="center"/>
              <w:rPr>
                <w:rFonts w:ascii="宋体" w:cs="Arial"/>
                <w:iCs/>
                <w:szCs w:val="21"/>
              </w:rPr>
            </w:pPr>
            <w:bookmarkStart w:id="13" w:name="_Hlk401680932"/>
            <w:r w:rsidRPr="00D10D84">
              <w:rPr>
                <w:rFonts w:ascii="宋体" w:hAnsi="宋体" w:cs="Arial" w:hint="eastAsia"/>
                <w:iCs/>
                <w:szCs w:val="21"/>
              </w:rPr>
              <w:t>门类</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cs="Arial"/>
                <w:iCs/>
                <w:szCs w:val="21"/>
              </w:rPr>
            </w:pPr>
            <w:r w:rsidRPr="00D10D84">
              <w:rPr>
                <w:rFonts w:ascii="宋体" w:hAnsi="宋体" w:cs="Arial" w:hint="eastAsia"/>
                <w:iCs/>
                <w:szCs w:val="21"/>
              </w:rPr>
              <w:t>工学</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cs="Arial"/>
                <w:iCs/>
                <w:szCs w:val="21"/>
              </w:rPr>
            </w:pPr>
            <w:r w:rsidRPr="00D10D84">
              <w:rPr>
                <w:rFonts w:ascii="宋体" w:hAnsi="宋体" w:cs="Arial" w:hint="eastAsia"/>
                <w:iCs/>
                <w:szCs w:val="21"/>
              </w:rPr>
              <w:t>理学</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cs="Arial"/>
                <w:iCs/>
                <w:szCs w:val="21"/>
              </w:rPr>
            </w:pPr>
            <w:r w:rsidRPr="00D10D84">
              <w:rPr>
                <w:rFonts w:ascii="宋体" w:hAnsi="宋体" w:cs="Arial" w:hint="eastAsia"/>
                <w:iCs/>
                <w:szCs w:val="21"/>
              </w:rPr>
              <w:t>经济</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cs="Arial"/>
                <w:iCs/>
                <w:szCs w:val="21"/>
              </w:rPr>
            </w:pPr>
            <w:r w:rsidRPr="00D10D84">
              <w:rPr>
                <w:rFonts w:ascii="宋体" w:hAnsi="宋体" w:cs="Arial" w:hint="eastAsia"/>
                <w:iCs/>
                <w:szCs w:val="21"/>
              </w:rPr>
              <w:t>管理</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cs="Arial"/>
                <w:iCs/>
                <w:szCs w:val="21"/>
              </w:rPr>
            </w:pPr>
            <w:r w:rsidRPr="00D10D84">
              <w:rPr>
                <w:rFonts w:ascii="宋体" w:hAnsi="宋体" w:cs="Arial" w:hint="eastAsia"/>
                <w:iCs/>
                <w:szCs w:val="21"/>
              </w:rPr>
              <w:t>文学</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cs="Arial"/>
                <w:bCs/>
                <w:szCs w:val="21"/>
              </w:rPr>
            </w:pPr>
            <w:r w:rsidRPr="00D10D84">
              <w:rPr>
                <w:rFonts w:ascii="宋体" w:hAnsi="宋体" w:cs="Arial" w:hint="eastAsia"/>
                <w:bCs/>
                <w:szCs w:val="21"/>
              </w:rPr>
              <w:t>艺术</w:t>
            </w:r>
          </w:p>
        </w:tc>
        <w:tc>
          <w:tcPr>
            <w:tcW w:w="781" w:type="dxa"/>
            <w:tcBorders>
              <w:top w:val="single" w:sz="6" w:space="0" w:color="000000"/>
              <w:bottom w:val="single" w:sz="6" w:space="0" w:color="000000"/>
              <w:right w:val="single" w:sz="4" w:space="0" w:color="auto"/>
            </w:tcBorders>
            <w:vAlign w:val="center"/>
          </w:tcPr>
          <w:p w:rsidR="00683C33" w:rsidRPr="00D10D84" w:rsidRDefault="00683C33" w:rsidP="00E00D6E">
            <w:pPr>
              <w:jc w:val="center"/>
              <w:rPr>
                <w:rFonts w:ascii="宋体" w:cs="Arial"/>
                <w:bCs/>
                <w:szCs w:val="21"/>
              </w:rPr>
            </w:pPr>
            <w:r w:rsidRPr="00D10D84">
              <w:rPr>
                <w:rFonts w:ascii="宋体" w:hAnsi="宋体" w:cs="Arial" w:hint="eastAsia"/>
                <w:bCs/>
                <w:szCs w:val="21"/>
              </w:rPr>
              <w:t>合计</w:t>
            </w:r>
          </w:p>
        </w:tc>
      </w:tr>
      <w:tr w:rsidR="00683C33" w:rsidRPr="00D10D84" w:rsidTr="00E00D6E">
        <w:trPr>
          <w:trHeight w:val="326"/>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683C33" w:rsidRPr="00D10D84" w:rsidRDefault="00683C33" w:rsidP="00E00D6E">
            <w:pPr>
              <w:jc w:val="center"/>
              <w:rPr>
                <w:rFonts w:ascii="宋体" w:cs="Arial"/>
                <w:bCs/>
                <w:iCs/>
                <w:szCs w:val="21"/>
              </w:rPr>
            </w:pPr>
            <w:r w:rsidRPr="00D10D84">
              <w:rPr>
                <w:rFonts w:ascii="宋体" w:hAnsi="宋体" w:cs="Arial" w:hint="eastAsia"/>
                <w:bCs/>
                <w:szCs w:val="21"/>
              </w:rPr>
              <w:t>数量</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28</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2</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2</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6</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5</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2</w:t>
            </w:r>
          </w:p>
        </w:tc>
        <w:tc>
          <w:tcPr>
            <w:tcW w:w="781" w:type="dxa"/>
            <w:tcBorders>
              <w:top w:val="single" w:sz="6" w:space="0" w:color="000000"/>
              <w:bottom w:val="single" w:sz="6" w:space="0" w:color="000000"/>
              <w:right w:val="single" w:sz="4" w:space="0" w:color="auto"/>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45</w:t>
            </w:r>
          </w:p>
        </w:tc>
      </w:tr>
      <w:tr w:rsidR="00683C33" w:rsidRPr="00D10D84" w:rsidTr="008E3EB4">
        <w:trPr>
          <w:trHeight w:val="636"/>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683C33" w:rsidRPr="00D10D84" w:rsidRDefault="00683C33" w:rsidP="00E00D6E">
            <w:pPr>
              <w:jc w:val="center"/>
              <w:rPr>
                <w:rFonts w:ascii="宋体" w:hAnsi="宋体" w:cs="Arial"/>
                <w:bCs/>
                <w:szCs w:val="21"/>
              </w:rPr>
            </w:pPr>
            <w:r w:rsidRPr="00D10D84">
              <w:rPr>
                <w:rFonts w:ascii="宋体" w:hAnsi="宋体" w:cs="Arial" w:hint="eastAsia"/>
                <w:bCs/>
                <w:szCs w:val="21"/>
              </w:rPr>
              <w:t>比例</w:t>
            </w:r>
            <w:r w:rsidRPr="00D10D84">
              <w:rPr>
                <w:rFonts w:ascii="宋体" w:hAnsi="宋体" w:cs="Arial"/>
                <w:bCs/>
                <w:szCs w:val="21"/>
              </w:rPr>
              <w:t>(%)</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62.22</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4.44</w:t>
            </w:r>
          </w:p>
        </w:tc>
        <w:tc>
          <w:tcPr>
            <w:tcW w:w="780"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4.44</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13.34</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11.12</w:t>
            </w:r>
          </w:p>
        </w:tc>
        <w:tc>
          <w:tcPr>
            <w:tcW w:w="781" w:type="dxa"/>
            <w:tcBorders>
              <w:top w:val="single" w:sz="6" w:space="0" w:color="000000"/>
              <w:bottom w:val="single" w:sz="6" w:space="0" w:color="000000"/>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4.44</w:t>
            </w:r>
          </w:p>
        </w:tc>
        <w:tc>
          <w:tcPr>
            <w:tcW w:w="781" w:type="dxa"/>
            <w:tcBorders>
              <w:top w:val="single" w:sz="6" w:space="0" w:color="000000"/>
              <w:bottom w:val="single" w:sz="6" w:space="0" w:color="000000"/>
              <w:right w:val="single" w:sz="4" w:space="0" w:color="auto"/>
            </w:tcBorders>
            <w:vAlign w:val="center"/>
          </w:tcPr>
          <w:p w:rsidR="00683C33" w:rsidRPr="00D10D84" w:rsidRDefault="00683C33" w:rsidP="00E00D6E">
            <w:pPr>
              <w:jc w:val="center"/>
              <w:rPr>
                <w:rFonts w:ascii="宋体" w:hAnsi="宋体" w:cs="Arial"/>
                <w:szCs w:val="21"/>
              </w:rPr>
            </w:pPr>
            <w:r w:rsidRPr="00D10D84">
              <w:rPr>
                <w:rFonts w:ascii="宋体" w:hAnsi="宋体" w:cs="Arial"/>
                <w:szCs w:val="21"/>
              </w:rPr>
              <w:t>100%</w:t>
            </w:r>
          </w:p>
        </w:tc>
      </w:tr>
    </w:tbl>
    <w:bookmarkEnd w:id="13"/>
    <w:p w:rsidR="00683C33" w:rsidRDefault="00683C33" w:rsidP="00683C33">
      <w:pPr>
        <w:ind w:firstLineChars="200" w:firstLine="480"/>
        <w:rPr>
          <w:rFonts w:ascii="Arial" w:hAnsi="Arial" w:cs="Arial"/>
          <w:sz w:val="24"/>
        </w:rPr>
      </w:pPr>
      <w:r>
        <w:rPr>
          <w:rFonts w:ascii="Arial" w:hAnsi="Arial" w:cs="Arial"/>
          <w:noProof/>
          <w:sz w:val="24"/>
        </w:rPr>
        <w:lastRenderedPageBreak/>
        <w:drawing>
          <wp:inline distT="0" distB="0" distL="0" distR="0">
            <wp:extent cx="4591050" cy="3038475"/>
            <wp:effectExtent l="0" t="0" r="0" b="0"/>
            <wp:docPr id="1"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83C33" w:rsidRPr="00D10D84" w:rsidRDefault="00683C33" w:rsidP="00180B1D">
      <w:pPr>
        <w:spacing w:beforeLines="50"/>
        <w:jc w:val="center"/>
        <w:rPr>
          <w:rFonts w:ascii="宋体" w:cs="Arial"/>
        </w:rPr>
      </w:pPr>
      <w:r w:rsidRPr="00D10D84">
        <w:rPr>
          <w:rFonts w:ascii="宋体" w:hAnsi="宋体" w:cs="Arial" w:hint="eastAsia"/>
        </w:rPr>
        <w:t>图</w:t>
      </w:r>
      <w:r w:rsidRPr="00D10D84">
        <w:rPr>
          <w:rFonts w:ascii="宋体" w:hAnsi="宋体" w:cs="Arial"/>
        </w:rPr>
        <w:t>1-1  2014</w:t>
      </w:r>
      <w:r w:rsidRPr="00D10D84">
        <w:rPr>
          <w:rFonts w:ascii="宋体" w:hAnsi="宋体" w:cs="Arial" w:hint="eastAsia"/>
        </w:rPr>
        <w:t>学年本科专业学科门类分布情况图</w:t>
      </w:r>
    </w:p>
    <w:p w:rsidR="00683C33" w:rsidRDefault="00683C33" w:rsidP="00683C33"/>
    <w:p w:rsidR="00683C33" w:rsidRPr="003174E7" w:rsidRDefault="00683C33" w:rsidP="00683C33">
      <w:pPr>
        <w:spacing w:line="400" w:lineRule="exact"/>
        <w:rPr>
          <w:rFonts w:ascii="宋体" w:cs="Arial"/>
          <w:sz w:val="24"/>
        </w:rPr>
      </w:pPr>
      <w:r w:rsidRPr="003174E7">
        <w:rPr>
          <w:rFonts w:ascii="宋体" w:hAnsi="宋体" w:cs="Arial" w:hint="eastAsia"/>
          <w:sz w:val="24"/>
        </w:rPr>
        <w:t>学院历年招生专业情况如表</w:t>
      </w:r>
      <w:r w:rsidRPr="003174E7">
        <w:rPr>
          <w:rFonts w:ascii="宋体" w:hAnsi="宋体" w:cs="Arial"/>
          <w:sz w:val="24"/>
        </w:rPr>
        <w:t>1-2</w:t>
      </w:r>
      <w:r w:rsidRPr="003174E7">
        <w:rPr>
          <w:rFonts w:ascii="宋体" w:hAnsi="宋体" w:cs="Arial" w:hint="eastAsia"/>
          <w:sz w:val="24"/>
        </w:rPr>
        <w:t>所示。</w:t>
      </w:r>
    </w:p>
    <w:p w:rsidR="00683C33" w:rsidRDefault="00683C33" w:rsidP="00180B1D">
      <w:pPr>
        <w:spacing w:beforeLines="50"/>
        <w:jc w:val="center"/>
        <w:rPr>
          <w:rFonts w:ascii="Arial" w:hAnsi="Arial" w:cs="Arial"/>
          <w:b/>
        </w:rPr>
      </w:pPr>
      <w:r>
        <w:rPr>
          <w:rFonts w:ascii="宋体" w:hAnsi="宋体" w:cs="Arial" w:hint="eastAsia"/>
        </w:rPr>
        <w:t>表</w:t>
      </w:r>
      <w:r>
        <w:rPr>
          <w:rFonts w:ascii="宋体" w:hAnsi="宋体" w:cs="Arial"/>
        </w:rPr>
        <w:t xml:space="preserve">1-2    </w:t>
      </w:r>
      <w:r>
        <w:rPr>
          <w:rFonts w:ascii="宋体" w:hAnsi="宋体" w:cs="Arial" w:hint="eastAsia"/>
        </w:rPr>
        <w:t>福州大学至诚学院历年招生专业情况一览表</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0"/>
        <w:gridCol w:w="640"/>
        <w:gridCol w:w="681"/>
        <w:gridCol w:w="681"/>
        <w:gridCol w:w="681"/>
        <w:gridCol w:w="681"/>
        <w:gridCol w:w="681"/>
        <w:gridCol w:w="649"/>
        <w:gridCol w:w="649"/>
        <w:gridCol w:w="650"/>
        <w:gridCol w:w="650"/>
        <w:gridCol w:w="650"/>
        <w:gridCol w:w="650"/>
      </w:tblGrid>
      <w:tr w:rsidR="00683C33" w:rsidRPr="00346CDF" w:rsidTr="00E00D6E">
        <w:trPr>
          <w:trHeight w:val="285"/>
          <w:tblHeader/>
          <w:jc w:val="center"/>
        </w:trPr>
        <w:tc>
          <w:tcPr>
            <w:tcW w:w="2190" w:type="dxa"/>
            <w:noWrap/>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hint="eastAsia"/>
                <w:b/>
                <w:szCs w:val="21"/>
              </w:rPr>
              <w:t>年</w:t>
            </w:r>
            <w:r w:rsidRPr="00346CDF">
              <w:rPr>
                <w:rFonts w:ascii="宋体" w:hAnsi="宋体" w:cs="Arial"/>
                <w:b/>
                <w:szCs w:val="21"/>
              </w:rPr>
              <w:t xml:space="preserve">  </w:t>
            </w:r>
            <w:r w:rsidRPr="00346CDF">
              <w:rPr>
                <w:rFonts w:ascii="宋体" w:hAnsi="宋体" w:cs="Arial" w:hint="eastAsia"/>
                <w:b/>
                <w:szCs w:val="21"/>
              </w:rPr>
              <w:t>份</w:t>
            </w:r>
          </w:p>
        </w:tc>
        <w:tc>
          <w:tcPr>
            <w:tcW w:w="500"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2004</w:t>
            </w:r>
          </w:p>
        </w:tc>
        <w:tc>
          <w:tcPr>
            <w:tcW w:w="681"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2005</w:t>
            </w:r>
          </w:p>
        </w:tc>
        <w:tc>
          <w:tcPr>
            <w:tcW w:w="681"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2006</w:t>
            </w:r>
          </w:p>
        </w:tc>
        <w:tc>
          <w:tcPr>
            <w:tcW w:w="681"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2007</w:t>
            </w:r>
          </w:p>
        </w:tc>
        <w:tc>
          <w:tcPr>
            <w:tcW w:w="681"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2008</w:t>
            </w:r>
          </w:p>
        </w:tc>
        <w:tc>
          <w:tcPr>
            <w:tcW w:w="681" w:type="dxa"/>
            <w:noWrap/>
            <w:vAlign w:val="center"/>
          </w:tcPr>
          <w:p w:rsidR="00683C33" w:rsidRPr="00346CDF" w:rsidRDefault="00683C33" w:rsidP="00E00D6E">
            <w:pPr>
              <w:spacing w:line="540" w:lineRule="exact"/>
              <w:jc w:val="center"/>
              <w:rPr>
                <w:rFonts w:ascii="宋体" w:hAnsi="宋体" w:cs="Arial"/>
                <w:b/>
                <w:szCs w:val="21"/>
              </w:rPr>
            </w:pPr>
            <w:r w:rsidRPr="00346CDF">
              <w:rPr>
                <w:rFonts w:ascii="宋体" w:hAnsi="宋体" w:cs="Arial"/>
                <w:b/>
                <w:szCs w:val="21"/>
              </w:rPr>
              <w:t>2009</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2010</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2011</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2012</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2013</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2014</w:t>
            </w:r>
          </w:p>
        </w:tc>
        <w:tc>
          <w:tcPr>
            <w:tcW w:w="673" w:type="dxa"/>
            <w:vAlign w:val="center"/>
          </w:tcPr>
          <w:p w:rsidR="00683C33" w:rsidRPr="00346CDF" w:rsidRDefault="00683C33" w:rsidP="00E00D6E">
            <w:pPr>
              <w:spacing w:line="540" w:lineRule="exact"/>
              <w:jc w:val="center"/>
              <w:rPr>
                <w:rFonts w:ascii="宋体" w:cs="Arial"/>
                <w:b/>
                <w:szCs w:val="21"/>
              </w:rPr>
            </w:pPr>
            <w:r w:rsidRPr="00346CDF">
              <w:rPr>
                <w:rFonts w:ascii="宋体" w:hAnsi="宋体" w:cs="Arial"/>
                <w:b/>
                <w:szCs w:val="21"/>
              </w:rPr>
              <w:t>2015</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包装工程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生物工程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材料成型及控制工程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材料科学与工程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电气工程及其自动化</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电子科学与技术</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电子信息工程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工程管理</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通信工程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信息工程类</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微电子学</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法学</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国际经济与贸易</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财务管理</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工商管理类</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经济学类</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会计学</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过程装备与控制工程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应用化学</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化学工程与工艺</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lastRenderedPageBreak/>
              <w:t>汉语言文学</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环境工程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资源环境与城乡规划管理</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机械设计制造及其自动化</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计算机科学与技术</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网络工程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73" w:type="dxa"/>
            <w:vAlign w:val="center"/>
          </w:tcPr>
          <w:p w:rsidR="00683C33" w:rsidRPr="00346CDF" w:rsidRDefault="00683C33" w:rsidP="00E00D6E">
            <w:pPr>
              <w:widowControl/>
              <w:jc w:val="center"/>
              <w:rPr>
                <w:rFonts w:ascii="宋体" w:cs="宋体"/>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软件工程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土木工程</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建筑学</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行政管理</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信息管理与信息系统</w:t>
            </w:r>
          </w:p>
        </w:tc>
        <w:tc>
          <w:tcPr>
            <w:tcW w:w="500"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物流管理</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英语</w:t>
            </w:r>
          </w:p>
        </w:tc>
        <w:tc>
          <w:tcPr>
            <w:tcW w:w="500"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日语</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音乐学</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安全工程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食品科学与工程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生物技术</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材料化学</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工业设计</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产品设计</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人文地理与城乡规划</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电子信息类</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金融工程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自动化</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商务英语</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车辆工程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数字媒体技术</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计算机类</w:t>
            </w:r>
            <w:r w:rsidR="00A37D7A">
              <w:rPr>
                <w:rFonts w:ascii="宋体" w:hAnsi="宋体" w:cs="Courier New" w:hint="eastAsia"/>
                <w:kern w:val="0"/>
                <w:szCs w:val="21"/>
              </w:rPr>
              <w:t>（大类）</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工业工程</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网络与新媒体</w:t>
            </w:r>
          </w:p>
        </w:tc>
        <w:tc>
          <w:tcPr>
            <w:tcW w:w="500"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81" w:type="dxa"/>
            <w:noWrap/>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p>
        </w:tc>
        <w:tc>
          <w:tcPr>
            <w:tcW w:w="673" w:type="dxa"/>
            <w:vAlign w:val="center"/>
          </w:tcPr>
          <w:p w:rsidR="00683C33" w:rsidRPr="00346CDF" w:rsidRDefault="00683C33" w:rsidP="00E00D6E">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683C33" w:rsidRPr="00346CDF" w:rsidTr="00E00D6E">
        <w:trPr>
          <w:trHeight w:val="270"/>
          <w:jc w:val="center"/>
        </w:trPr>
        <w:tc>
          <w:tcPr>
            <w:tcW w:w="2190" w:type="dxa"/>
            <w:noWrap/>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hint="eastAsia"/>
                <w:kern w:val="0"/>
                <w:szCs w:val="21"/>
              </w:rPr>
              <w:t>专业数小计（个）</w:t>
            </w:r>
          </w:p>
        </w:tc>
        <w:tc>
          <w:tcPr>
            <w:tcW w:w="500"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18</w:t>
            </w:r>
          </w:p>
        </w:tc>
        <w:tc>
          <w:tcPr>
            <w:tcW w:w="681"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16</w:t>
            </w:r>
          </w:p>
        </w:tc>
        <w:tc>
          <w:tcPr>
            <w:tcW w:w="681"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16</w:t>
            </w:r>
          </w:p>
        </w:tc>
        <w:tc>
          <w:tcPr>
            <w:tcW w:w="681"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21</w:t>
            </w:r>
          </w:p>
        </w:tc>
        <w:tc>
          <w:tcPr>
            <w:tcW w:w="681"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23</w:t>
            </w:r>
          </w:p>
        </w:tc>
        <w:tc>
          <w:tcPr>
            <w:tcW w:w="681" w:type="dxa"/>
            <w:noWrap/>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26</w:t>
            </w:r>
          </w:p>
        </w:tc>
        <w:tc>
          <w:tcPr>
            <w:tcW w:w="673" w:type="dxa"/>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29</w:t>
            </w:r>
          </w:p>
        </w:tc>
        <w:tc>
          <w:tcPr>
            <w:tcW w:w="673" w:type="dxa"/>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32</w:t>
            </w:r>
          </w:p>
        </w:tc>
        <w:tc>
          <w:tcPr>
            <w:tcW w:w="673" w:type="dxa"/>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35</w:t>
            </w:r>
          </w:p>
        </w:tc>
        <w:tc>
          <w:tcPr>
            <w:tcW w:w="673" w:type="dxa"/>
            <w:vAlign w:val="center"/>
          </w:tcPr>
          <w:p w:rsidR="00683C33" w:rsidRPr="00346CDF" w:rsidRDefault="00683C33" w:rsidP="00E00D6E">
            <w:pPr>
              <w:widowControl/>
              <w:jc w:val="center"/>
              <w:rPr>
                <w:rFonts w:ascii="宋体" w:hAnsi="宋体" w:cs="Courier New"/>
                <w:kern w:val="0"/>
                <w:szCs w:val="21"/>
              </w:rPr>
            </w:pPr>
            <w:r w:rsidRPr="00346CDF">
              <w:rPr>
                <w:rFonts w:ascii="宋体" w:hAnsi="宋体" w:cs="Courier New"/>
                <w:kern w:val="0"/>
                <w:szCs w:val="21"/>
              </w:rPr>
              <w:t>39</w:t>
            </w:r>
          </w:p>
        </w:tc>
        <w:tc>
          <w:tcPr>
            <w:tcW w:w="673" w:type="dxa"/>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kern w:val="0"/>
                <w:szCs w:val="21"/>
              </w:rPr>
              <w:t>39</w:t>
            </w:r>
          </w:p>
        </w:tc>
        <w:tc>
          <w:tcPr>
            <w:tcW w:w="673" w:type="dxa"/>
            <w:vAlign w:val="center"/>
          </w:tcPr>
          <w:p w:rsidR="00683C33" w:rsidRPr="00346CDF" w:rsidRDefault="00683C33" w:rsidP="00E00D6E">
            <w:pPr>
              <w:widowControl/>
              <w:jc w:val="center"/>
              <w:rPr>
                <w:rFonts w:ascii="宋体" w:cs="Courier New"/>
                <w:kern w:val="0"/>
                <w:szCs w:val="21"/>
              </w:rPr>
            </w:pPr>
            <w:r w:rsidRPr="00346CDF">
              <w:rPr>
                <w:rFonts w:ascii="宋体" w:hAnsi="宋体" w:cs="Courier New"/>
                <w:kern w:val="0"/>
                <w:szCs w:val="21"/>
              </w:rPr>
              <w:t>40</w:t>
            </w:r>
          </w:p>
        </w:tc>
      </w:tr>
    </w:tbl>
    <w:p w:rsidR="00361A24" w:rsidRDefault="00361A24" w:rsidP="0089285E">
      <w:pPr>
        <w:jc w:val="left"/>
        <w:outlineLvl w:val="1"/>
        <w:rPr>
          <w:rFonts w:ascii="黑体" w:eastAsia="黑体" w:hAnsi="宋体"/>
          <w:bCs/>
          <w:sz w:val="28"/>
          <w:szCs w:val="28"/>
        </w:rPr>
      </w:pPr>
      <w:bookmarkStart w:id="14" w:name="_Toc435622739"/>
      <w:bookmarkStart w:id="15" w:name="_Toc435623797"/>
    </w:p>
    <w:p w:rsidR="00683C33" w:rsidRPr="00C17C13" w:rsidRDefault="00683C33" w:rsidP="0089285E">
      <w:pPr>
        <w:jc w:val="left"/>
        <w:outlineLvl w:val="1"/>
        <w:rPr>
          <w:rFonts w:ascii="黑体" w:eastAsia="黑体" w:hAnsi="宋体"/>
          <w:bCs/>
          <w:sz w:val="28"/>
          <w:szCs w:val="28"/>
        </w:rPr>
      </w:pPr>
      <w:r w:rsidRPr="00C17C13">
        <w:rPr>
          <w:rFonts w:ascii="黑体" w:eastAsia="黑体" w:hAnsi="宋体" w:hint="eastAsia"/>
          <w:bCs/>
          <w:sz w:val="28"/>
          <w:szCs w:val="28"/>
        </w:rPr>
        <w:t>（三）学生基本情况</w:t>
      </w:r>
      <w:bookmarkEnd w:id="14"/>
      <w:bookmarkEnd w:id="15"/>
    </w:p>
    <w:p w:rsidR="00683C33" w:rsidRPr="00033898" w:rsidRDefault="00683C33" w:rsidP="00683C33">
      <w:pPr>
        <w:spacing w:line="400" w:lineRule="exact"/>
        <w:ind w:firstLineChars="200" w:firstLine="480"/>
        <w:rPr>
          <w:rFonts w:ascii="宋体" w:cs="Arial"/>
          <w:sz w:val="24"/>
        </w:rPr>
      </w:pPr>
      <w:r w:rsidRPr="00033898">
        <w:rPr>
          <w:rFonts w:ascii="宋体" w:hAnsi="宋体" w:cs="Arial" w:hint="eastAsia"/>
          <w:sz w:val="24"/>
        </w:rPr>
        <w:t>学院拥有全日制在校本科生</w:t>
      </w:r>
      <w:r w:rsidRPr="00E970CA">
        <w:rPr>
          <w:rFonts w:ascii="宋体" w:hAnsi="宋体" w:cs="Arial"/>
          <w:sz w:val="24"/>
        </w:rPr>
        <w:t>117</w:t>
      </w:r>
      <w:bookmarkStart w:id="16" w:name="_GoBack"/>
      <w:bookmarkEnd w:id="16"/>
      <w:r w:rsidRPr="00E970CA">
        <w:rPr>
          <w:rFonts w:ascii="宋体" w:hAnsi="宋体" w:cs="Arial"/>
          <w:sz w:val="24"/>
        </w:rPr>
        <w:t>53</w:t>
      </w:r>
      <w:r w:rsidRPr="00033898">
        <w:rPr>
          <w:rFonts w:ascii="宋体" w:hAnsi="宋体" w:cs="Arial" w:hint="eastAsia"/>
          <w:sz w:val="24"/>
        </w:rPr>
        <w:t>人，历年在校生人数如表</w:t>
      </w:r>
      <w:r w:rsidRPr="00033898">
        <w:rPr>
          <w:rFonts w:ascii="宋体" w:hAnsi="宋体" w:cs="Arial"/>
          <w:sz w:val="24"/>
        </w:rPr>
        <w:t>1-3</w:t>
      </w:r>
      <w:r w:rsidRPr="00033898">
        <w:rPr>
          <w:rFonts w:ascii="宋体" w:hAnsi="宋体" w:cs="Arial" w:hint="eastAsia"/>
          <w:sz w:val="24"/>
        </w:rPr>
        <w:t>所示</w:t>
      </w:r>
    </w:p>
    <w:p w:rsidR="00683C33" w:rsidRPr="006C024E" w:rsidRDefault="00683C33" w:rsidP="00683C33">
      <w:pPr>
        <w:ind w:firstLineChars="200" w:firstLine="480"/>
        <w:rPr>
          <w:rFonts w:ascii="Arial" w:hAnsi="Arial" w:cs="Arial"/>
          <w:sz w:val="24"/>
        </w:rPr>
      </w:pPr>
    </w:p>
    <w:p w:rsidR="00683C33" w:rsidRPr="00033898" w:rsidRDefault="00683C33" w:rsidP="00683C33">
      <w:pPr>
        <w:ind w:firstLineChars="200" w:firstLine="420"/>
        <w:jc w:val="center"/>
        <w:rPr>
          <w:rFonts w:ascii="宋体" w:cs="Arial"/>
          <w:szCs w:val="21"/>
        </w:rPr>
      </w:pPr>
      <w:r w:rsidRPr="00033898">
        <w:rPr>
          <w:rFonts w:ascii="宋体" w:hAnsi="宋体" w:hint="eastAsia"/>
          <w:color w:val="000000"/>
          <w:szCs w:val="21"/>
        </w:rPr>
        <w:lastRenderedPageBreak/>
        <w:t>表</w:t>
      </w:r>
      <w:r w:rsidRPr="00033898">
        <w:rPr>
          <w:rFonts w:ascii="宋体" w:hAnsi="宋体"/>
          <w:color w:val="000000"/>
          <w:szCs w:val="21"/>
        </w:rPr>
        <w:t xml:space="preserve">1-3  </w:t>
      </w:r>
      <w:r w:rsidRPr="00033898">
        <w:rPr>
          <w:rFonts w:ascii="宋体" w:hAnsi="宋体" w:hint="eastAsia"/>
          <w:color w:val="000000"/>
          <w:szCs w:val="21"/>
        </w:rPr>
        <w:t>福州大学至诚学院历年在校生人数统计表</w:t>
      </w:r>
    </w:p>
    <w:tbl>
      <w:tblPr>
        <w:tblW w:w="790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1201"/>
        <w:gridCol w:w="940"/>
        <w:gridCol w:w="1180"/>
        <w:gridCol w:w="1700"/>
        <w:gridCol w:w="1180"/>
        <w:gridCol w:w="1700"/>
      </w:tblGrid>
      <w:tr w:rsidR="00683C33" w:rsidRPr="00033898" w:rsidTr="00E00D6E">
        <w:trPr>
          <w:trHeight w:val="824"/>
          <w:jc w:val="center"/>
        </w:trPr>
        <w:tc>
          <w:tcPr>
            <w:tcW w:w="1201" w:type="dxa"/>
            <w:tcBorders>
              <w:top w:val="single" w:sz="4" w:space="0" w:color="auto"/>
            </w:tcBorders>
            <w:vAlign w:val="center"/>
          </w:tcPr>
          <w:p w:rsidR="00683C33" w:rsidRPr="00033898" w:rsidRDefault="0086746D" w:rsidP="00E00D6E">
            <w:pPr>
              <w:widowControl/>
              <w:jc w:val="center"/>
              <w:rPr>
                <w:rFonts w:ascii="宋体" w:cs="宋体"/>
                <w:b/>
                <w:bCs/>
                <w:color w:val="000000"/>
                <w:kern w:val="0"/>
                <w:szCs w:val="21"/>
              </w:rPr>
            </w:pPr>
            <w:r w:rsidRPr="0086746D">
              <w:rPr>
                <w:noProof/>
              </w:rPr>
              <w:pict>
                <v:group id="__TH_G12小五35" o:spid="_x0000_s2050" style="position:absolute;left:0;text-align:left;margin-left:-3.8pt;margin-top:-1.15pt;width:59.05pt;height:41.8pt;z-index:251660288" coordsize="1181,576">
                  <v:line id="__TH_L30" o:spid="_x0000_s2051" style="position:absolute" from="0,0" to="1181,576" o:preferrelative="t" strokeweight=".5pt">
                    <v:stroke miterlimit="2"/>
                  </v:line>
                  <v:shapetype id="_x0000_t202" coordsize="21600,21600" o:spt="202" path="m,l,21600r21600,l21600,xe">
                    <v:stroke joinstyle="miter"/>
                    <v:path gradientshapeok="t" o:connecttype="rect"/>
                  </v:shapetype>
                  <v:shape id="__TH_B1131" o:spid="_x0000_s2052" type="#_x0000_t202" style="position:absolute;left:599;top:36;width:225;height:225" o:preferrelative="t" filled="f" stroked="f">
                    <v:textbox style="mso-next-textbox:#__TH_B1131" inset="0,0,0,0">
                      <w:txbxContent>
                        <w:p w:rsidR="00683C33" w:rsidRDefault="00683C33" w:rsidP="00683C33">
                          <w:pPr>
                            <w:snapToGrid w:val="0"/>
                            <w:rPr>
                              <w:color w:val="000000"/>
                              <w:sz w:val="18"/>
                            </w:rPr>
                          </w:pPr>
                          <w:r>
                            <w:rPr>
                              <w:rFonts w:hint="eastAsia"/>
                              <w:color w:val="000000"/>
                              <w:sz w:val="18"/>
                            </w:rPr>
                            <w:t>项</w:t>
                          </w:r>
                        </w:p>
                      </w:txbxContent>
                    </v:textbox>
                  </v:shape>
                  <v:shape id="__TH_B1232" o:spid="_x0000_s2053" type="#_x0000_t202" style="position:absolute;left:837;top:152;width:225;height:225" o:preferrelative="t" filled="f" stroked="f">
                    <v:textbox style="mso-next-textbox:#__TH_B1232" inset="0,0,0,0">
                      <w:txbxContent>
                        <w:p w:rsidR="00683C33" w:rsidRDefault="00683C33" w:rsidP="00683C33">
                          <w:pPr>
                            <w:snapToGrid w:val="0"/>
                            <w:rPr>
                              <w:color w:val="000000"/>
                              <w:sz w:val="18"/>
                            </w:rPr>
                          </w:pPr>
                          <w:r>
                            <w:rPr>
                              <w:rFonts w:hint="eastAsia"/>
                              <w:color w:val="000000"/>
                              <w:sz w:val="18"/>
                            </w:rPr>
                            <w:t>目</w:t>
                          </w:r>
                        </w:p>
                      </w:txbxContent>
                    </v:textbox>
                  </v:shape>
                  <v:shape id="__TH_B2133" o:spid="_x0000_s2054" type="#_x0000_t202" style="position:absolute;left:107;top:218;width:225;height:225" o:preferrelative="t" filled="f" stroked="f">
                    <v:textbox style="mso-next-textbox:#__TH_B2133" inset="0,0,0,0">
                      <w:txbxContent>
                        <w:p w:rsidR="00683C33" w:rsidRDefault="00683C33" w:rsidP="00683C33">
                          <w:pPr>
                            <w:snapToGrid w:val="0"/>
                            <w:rPr>
                              <w:color w:val="000000"/>
                              <w:sz w:val="18"/>
                            </w:rPr>
                          </w:pPr>
                          <w:r>
                            <w:rPr>
                              <w:rFonts w:hint="eastAsia"/>
                              <w:color w:val="000000"/>
                              <w:sz w:val="18"/>
                            </w:rPr>
                            <w:t>年</w:t>
                          </w:r>
                        </w:p>
                      </w:txbxContent>
                    </v:textbox>
                  </v:shape>
                  <v:shape id="__TH_B2234" o:spid="_x0000_s2055" type="#_x0000_t202" style="position:absolute;left:320;top:322;width:225;height:225" o:preferrelative="t" filled="f" stroked="f">
                    <v:textbox style="mso-next-textbox:#__TH_B2234" inset="0,0,0,0">
                      <w:txbxContent>
                        <w:p w:rsidR="00683C33" w:rsidRDefault="00683C33" w:rsidP="00683C33">
                          <w:pPr>
                            <w:snapToGrid w:val="0"/>
                            <w:rPr>
                              <w:color w:val="000000"/>
                              <w:sz w:val="18"/>
                            </w:rPr>
                          </w:pPr>
                          <w:r>
                            <w:rPr>
                              <w:rFonts w:hint="eastAsia"/>
                              <w:color w:val="000000"/>
                              <w:sz w:val="18"/>
                            </w:rPr>
                            <w:t>份</w:t>
                          </w:r>
                        </w:p>
                      </w:txbxContent>
                    </v:textbox>
                  </v:shape>
                </v:group>
              </w:pict>
            </w:r>
          </w:p>
        </w:tc>
        <w:tc>
          <w:tcPr>
            <w:tcW w:w="940" w:type="dxa"/>
            <w:tcBorders>
              <w:top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hint="eastAsia"/>
                <w:b/>
                <w:bCs/>
                <w:color w:val="000000"/>
                <w:kern w:val="0"/>
                <w:szCs w:val="21"/>
              </w:rPr>
              <w:t>总人数</w:t>
            </w:r>
          </w:p>
        </w:tc>
        <w:tc>
          <w:tcPr>
            <w:tcW w:w="1180" w:type="dxa"/>
            <w:tcBorders>
              <w:top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hint="eastAsia"/>
                <w:b/>
                <w:bCs/>
                <w:color w:val="000000"/>
                <w:kern w:val="0"/>
                <w:szCs w:val="21"/>
              </w:rPr>
              <w:t>省内人数</w:t>
            </w:r>
          </w:p>
        </w:tc>
        <w:tc>
          <w:tcPr>
            <w:tcW w:w="1700" w:type="dxa"/>
            <w:tcBorders>
              <w:top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hint="eastAsia"/>
                <w:b/>
                <w:bCs/>
                <w:color w:val="000000"/>
                <w:kern w:val="0"/>
                <w:szCs w:val="21"/>
              </w:rPr>
              <w:t>占总人数比例</w:t>
            </w:r>
          </w:p>
        </w:tc>
        <w:tc>
          <w:tcPr>
            <w:tcW w:w="1180" w:type="dxa"/>
            <w:tcBorders>
              <w:top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hint="eastAsia"/>
                <w:b/>
                <w:bCs/>
                <w:color w:val="000000"/>
                <w:kern w:val="0"/>
                <w:szCs w:val="21"/>
              </w:rPr>
              <w:t>省外人数</w:t>
            </w:r>
          </w:p>
        </w:tc>
        <w:tc>
          <w:tcPr>
            <w:tcW w:w="1700" w:type="dxa"/>
            <w:tcBorders>
              <w:top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hint="eastAsia"/>
                <w:b/>
                <w:bCs/>
                <w:color w:val="000000"/>
                <w:kern w:val="0"/>
                <w:szCs w:val="21"/>
              </w:rPr>
              <w:t>占总人数比例</w:t>
            </w:r>
          </w:p>
        </w:tc>
      </w:tr>
      <w:tr w:rsidR="00683C33" w:rsidRPr="00033898" w:rsidTr="00E00D6E">
        <w:trPr>
          <w:trHeight w:val="270"/>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2007</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6254</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6064</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96.97%</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190</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3.03%</w:t>
            </w:r>
          </w:p>
        </w:tc>
      </w:tr>
      <w:tr w:rsidR="00683C33" w:rsidRPr="00033898" w:rsidTr="00E00D6E">
        <w:trPr>
          <w:trHeight w:val="270"/>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2008</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7251</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6778</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93.48%</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473</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6.52%</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2009</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8276</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7424</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89.71%</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852</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10.29%</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2010</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9542</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8060</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94.47%</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1482</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15.53%</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2011</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10437</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8512</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81.56%</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1925</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18.44%</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2012</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11238</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8520</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75.81%</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2718</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24.19%</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hAnsi="宋体" w:cs="宋体"/>
                <w:b/>
                <w:bCs/>
                <w:color w:val="000000"/>
                <w:kern w:val="0"/>
                <w:szCs w:val="21"/>
              </w:rPr>
            </w:pPr>
            <w:r w:rsidRPr="00033898">
              <w:rPr>
                <w:rFonts w:ascii="宋体" w:hAnsi="宋体" w:cs="宋体"/>
                <w:b/>
                <w:bCs/>
                <w:color w:val="000000"/>
                <w:kern w:val="0"/>
                <w:szCs w:val="21"/>
              </w:rPr>
              <w:t>2013</w:t>
            </w:r>
          </w:p>
        </w:tc>
        <w:tc>
          <w:tcPr>
            <w:tcW w:w="94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11940</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8218</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68.83%</w:t>
            </w:r>
          </w:p>
        </w:tc>
        <w:tc>
          <w:tcPr>
            <w:tcW w:w="118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3722</w:t>
            </w:r>
          </w:p>
        </w:tc>
        <w:tc>
          <w:tcPr>
            <w:tcW w:w="1700" w:type="dxa"/>
            <w:vAlign w:val="center"/>
          </w:tcPr>
          <w:p w:rsidR="00683C33" w:rsidRPr="00033898" w:rsidRDefault="00683C33" w:rsidP="00E00D6E">
            <w:pPr>
              <w:widowControl/>
              <w:jc w:val="center"/>
              <w:rPr>
                <w:rFonts w:ascii="宋体" w:hAnsi="宋体" w:cs="宋体"/>
                <w:color w:val="000000"/>
                <w:kern w:val="0"/>
                <w:szCs w:val="21"/>
              </w:rPr>
            </w:pPr>
            <w:r w:rsidRPr="00033898">
              <w:rPr>
                <w:rFonts w:ascii="宋体" w:hAnsi="宋体" w:cs="宋体"/>
                <w:color w:val="000000"/>
                <w:kern w:val="0"/>
                <w:szCs w:val="21"/>
              </w:rPr>
              <w:t>31.17%</w:t>
            </w:r>
          </w:p>
        </w:tc>
      </w:tr>
      <w:tr w:rsidR="00683C33" w:rsidRPr="00033898" w:rsidTr="00E00D6E">
        <w:trPr>
          <w:trHeight w:val="285"/>
          <w:jc w:val="center"/>
        </w:trPr>
        <w:tc>
          <w:tcPr>
            <w:tcW w:w="1201" w:type="dxa"/>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b/>
                <w:bCs/>
                <w:color w:val="000000"/>
                <w:kern w:val="0"/>
                <w:szCs w:val="21"/>
              </w:rPr>
              <w:t>2014</w:t>
            </w:r>
          </w:p>
        </w:tc>
        <w:tc>
          <w:tcPr>
            <w:tcW w:w="940" w:type="dxa"/>
            <w:vAlign w:val="center"/>
          </w:tcPr>
          <w:p w:rsidR="00683C33" w:rsidRPr="00033898" w:rsidRDefault="00683C33" w:rsidP="00E00D6E">
            <w:pPr>
              <w:widowControl/>
              <w:jc w:val="center"/>
              <w:rPr>
                <w:rFonts w:ascii="宋体" w:cs="宋体"/>
                <w:color w:val="000000"/>
                <w:kern w:val="0"/>
                <w:szCs w:val="21"/>
              </w:rPr>
            </w:pPr>
            <w:r w:rsidRPr="00033898">
              <w:rPr>
                <w:rFonts w:ascii="宋体" w:hAnsi="宋体" w:cs="宋体"/>
                <w:color w:val="000000"/>
                <w:kern w:val="0"/>
                <w:szCs w:val="21"/>
              </w:rPr>
              <w:t>11715</w:t>
            </w:r>
          </w:p>
        </w:tc>
        <w:tc>
          <w:tcPr>
            <w:tcW w:w="1180" w:type="dxa"/>
            <w:vAlign w:val="center"/>
          </w:tcPr>
          <w:p w:rsidR="00683C33" w:rsidRPr="00033898" w:rsidRDefault="00683C33" w:rsidP="00E00D6E">
            <w:pPr>
              <w:widowControl/>
              <w:jc w:val="center"/>
              <w:rPr>
                <w:rFonts w:ascii="宋体" w:cs="宋体"/>
                <w:color w:val="000000"/>
                <w:kern w:val="0"/>
                <w:szCs w:val="21"/>
              </w:rPr>
            </w:pPr>
            <w:r w:rsidRPr="00033898">
              <w:rPr>
                <w:rFonts w:ascii="宋体" w:hAnsi="宋体" w:cs="宋体"/>
                <w:color w:val="000000"/>
                <w:kern w:val="0"/>
                <w:szCs w:val="21"/>
              </w:rPr>
              <w:t>7390</w:t>
            </w:r>
          </w:p>
        </w:tc>
        <w:tc>
          <w:tcPr>
            <w:tcW w:w="1700" w:type="dxa"/>
            <w:vAlign w:val="center"/>
          </w:tcPr>
          <w:p w:rsidR="00683C33" w:rsidRPr="00033898" w:rsidRDefault="00683C33" w:rsidP="00E00D6E">
            <w:pPr>
              <w:widowControl/>
              <w:jc w:val="center"/>
              <w:rPr>
                <w:rFonts w:ascii="宋体" w:cs="宋体"/>
                <w:color w:val="000000"/>
                <w:kern w:val="0"/>
                <w:szCs w:val="21"/>
              </w:rPr>
            </w:pPr>
            <w:r w:rsidRPr="00033898">
              <w:rPr>
                <w:rFonts w:ascii="宋体" w:hAnsi="宋体" w:cs="宋体"/>
                <w:color w:val="000000"/>
                <w:kern w:val="0"/>
                <w:szCs w:val="21"/>
              </w:rPr>
              <w:t>63.08%</w:t>
            </w:r>
          </w:p>
        </w:tc>
        <w:tc>
          <w:tcPr>
            <w:tcW w:w="1180" w:type="dxa"/>
            <w:vAlign w:val="center"/>
          </w:tcPr>
          <w:p w:rsidR="00683C33" w:rsidRPr="00033898" w:rsidRDefault="00683C33" w:rsidP="00E00D6E">
            <w:pPr>
              <w:widowControl/>
              <w:jc w:val="center"/>
              <w:rPr>
                <w:rFonts w:ascii="宋体" w:cs="宋体"/>
                <w:color w:val="000000"/>
                <w:kern w:val="0"/>
                <w:szCs w:val="21"/>
              </w:rPr>
            </w:pPr>
            <w:r w:rsidRPr="00033898">
              <w:rPr>
                <w:rFonts w:ascii="宋体" w:hAnsi="宋体" w:cs="宋体"/>
                <w:color w:val="000000"/>
                <w:kern w:val="0"/>
                <w:szCs w:val="21"/>
              </w:rPr>
              <w:t>4325</w:t>
            </w:r>
          </w:p>
        </w:tc>
        <w:tc>
          <w:tcPr>
            <w:tcW w:w="1700" w:type="dxa"/>
            <w:vAlign w:val="center"/>
          </w:tcPr>
          <w:p w:rsidR="00683C33" w:rsidRPr="00033898" w:rsidRDefault="00683C33" w:rsidP="00E00D6E">
            <w:pPr>
              <w:widowControl/>
              <w:jc w:val="center"/>
              <w:rPr>
                <w:rFonts w:ascii="宋体" w:cs="宋体"/>
                <w:color w:val="000000"/>
                <w:kern w:val="0"/>
                <w:szCs w:val="21"/>
              </w:rPr>
            </w:pPr>
            <w:r w:rsidRPr="00033898">
              <w:rPr>
                <w:rFonts w:ascii="宋体" w:hAnsi="宋体" w:cs="宋体"/>
                <w:color w:val="000000"/>
                <w:kern w:val="0"/>
                <w:szCs w:val="21"/>
              </w:rPr>
              <w:t>36.92%</w:t>
            </w:r>
          </w:p>
        </w:tc>
      </w:tr>
      <w:tr w:rsidR="00683C33" w:rsidRPr="00033898" w:rsidTr="00E00D6E">
        <w:trPr>
          <w:trHeight w:val="285"/>
          <w:jc w:val="center"/>
        </w:trPr>
        <w:tc>
          <w:tcPr>
            <w:tcW w:w="1201" w:type="dxa"/>
            <w:tcBorders>
              <w:bottom w:val="single" w:sz="4" w:space="0" w:color="auto"/>
            </w:tcBorders>
            <w:vAlign w:val="center"/>
          </w:tcPr>
          <w:p w:rsidR="00683C33" w:rsidRPr="00033898" w:rsidRDefault="00683C33" w:rsidP="00E00D6E">
            <w:pPr>
              <w:widowControl/>
              <w:jc w:val="center"/>
              <w:rPr>
                <w:rFonts w:ascii="宋体" w:cs="宋体"/>
                <w:b/>
                <w:bCs/>
                <w:color w:val="000000"/>
                <w:kern w:val="0"/>
                <w:szCs w:val="21"/>
              </w:rPr>
            </w:pPr>
            <w:r w:rsidRPr="00033898">
              <w:rPr>
                <w:rFonts w:ascii="宋体" w:hAnsi="宋体" w:cs="宋体"/>
                <w:b/>
                <w:bCs/>
                <w:color w:val="000000"/>
                <w:kern w:val="0"/>
                <w:szCs w:val="21"/>
              </w:rPr>
              <w:t>2015</w:t>
            </w:r>
          </w:p>
        </w:tc>
        <w:tc>
          <w:tcPr>
            <w:tcW w:w="940" w:type="dxa"/>
            <w:tcBorders>
              <w:bottom w:val="single" w:sz="4" w:space="0" w:color="auto"/>
            </w:tcBorders>
            <w:vAlign w:val="center"/>
          </w:tcPr>
          <w:p w:rsidR="00683C33" w:rsidRPr="00E970CA" w:rsidRDefault="00683C33" w:rsidP="00683C33">
            <w:pPr>
              <w:widowControl/>
              <w:jc w:val="center"/>
              <w:rPr>
                <w:rFonts w:ascii="宋体" w:cs="宋体"/>
                <w:kern w:val="0"/>
                <w:szCs w:val="21"/>
              </w:rPr>
            </w:pPr>
            <w:r w:rsidRPr="00E970CA">
              <w:rPr>
                <w:rFonts w:ascii="宋体" w:hAnsi="宋体" w:cs="宋体"/>
                <w:kern w:val="0"/>
                <w:szCs w:val="21"/>
              </w:rPr>
              <w:t>117</w:t>
            </w:r>
            <w:r>
              <w:rPr>
                <w:rFonts w:ascii="宋体" w:hAnsi="宋体" w:cs="宋体" w:hint="eastAsia"/>
                <w:kern w:val="0"/>
                <w:szCs w:val="21"/>
              </w:rPr>
              <w:t>53</w:t>
            </w:r>
          </w:p>
        </w:tc>
        <w:tc>
          <w:tcPr>
            <w:tcW w:w="1180" w:type="dxa"/>
            <w:tcBorders>
              <w:bottom w:val="single" w:sz="4" w:space="0" w:color="auto"/>
            </w:tcBorders>
            <w:vAlign w:val="center"/>
          </w:tcPr>
          <w:p w:rsidR="00683C33" w:rsidRPr="00E970CA" w:rsidRDefault="00683C33" w:rsidP="001A33E0">
            <w:pPr>
              <w:widowControl/>
              <w:jc w:val="center"/>
              <w:rPr>
                <w:rFonts w:ascii="宋体" w:cs="宋体"/>
                <w:kern w:val="0"/>
                <w:szCs w:val="21"/>
              </w:rPr>
            </w:pPr>
            <w:r w:rsidRPr="00E970CA">
              <w:rPr>
                <w:rFonts w:ascii="宋体" w:hAnsi="宋体" w:cs="宋体"/>
                <w:kern w:val="0"/>
                <w:szCs w:val="21"/>
              </w:rPr>
              <w:t>69</w:t>
            </w:r>
            <w:r w:rsidR="001A33E0">
              <w:rPr>
                <w:rFonts w:ascii="宋体" w:hAnsi="宋体" w:cs="宋体" w:hint="eastAsia"/>
                <w:kern w:val="0"/>
                <w:szCs w:val="21"/>
              </w:rPr>
              <w:t>32</w:t>
            </w:r>
          </w:p>
        </w:tc>
        <w:tc>
          <w:tcPr>
            <w:tcW w:w="1700" w:type="dxa"/>
            <w:tcBorders>
              <w:bottom w:val="single" w:sz="4" w:space="0" w:color="auto"/>
            </w:tcBorders>
            <w:vAlign w:val="center"/>
          </w:tcPr>
          <w:p w:rsidR="00683C33" w:rsidRPr="00E970CA" w:rsidRDefault="00683C33" w:rsidP="00E00D6E">
            <w:pPr>
              <w:widowControl/>
              <w:jc w:val="center"/>
              <w:rPr>
                <w:rFonts w:ascii="宋体" w:cs="宋体"/>
                <w:kern w:val="0"/>
                <w:szCs w:val="21"/>
              </w:rPr>
            </w:pPr>
            <w:r w:rsidRPr="00E970CA">
              <w:rPr>
                <w:rFonts w:ascii="宋体" w:hAnsi="宋体" w:cs="宋体"/>
                <w:kern w:val="0"/>
                <w:szCs w:val="21"/>
              </w:rPr>
              <w:t>58.98%</w:t>
            </w:r>
          </w:p>
        </w:tc>
        <w:tc>
          <w:tcPr>
            <w:tcW w:w="1180" w:type="dxa"/>
            <w:tcBorders>
              <w:bottom w:val="single" w:sz="4" w:space="0" w:color="auto"/>
            </w:tcBorders>
            <w:vAlign w:val="center"/>
          </w:tcPr>
          <w:p w:rsidR="00683C33" w:rsidRPr="00E970CA" w:rsidRDefault="00683C33" w:rsidP="001A33E0">
            <w:pPr>
              <w:widowControl/>
              <w:jc w:val="center"/>
              <w:rPr>
                <w:rFonts w:ascii="宋体" w:cs="宋体"/>
                <w:kern w:val="0"/>
                <w:szCs w:val="21"/>
              </w:rPr>
            </w:pPr>
            <w:r w:rsidRPr="00E970CA">
              <w:rPr>
                <w:rFonts w:ascii="宋体" w:hAnsi="宋体" w:cs="宋体"/>
                <w:kern w:val="0"/>
                <w:szCs w:val="21"/>
              </w:rPr>
              <w:t>48</w:t>
            </w:r>
            <w:r w:rsidR="001A33E0">
              <w:rPr>
                <w:rFonts w:ascii="宋体" w:hAnsi="宋体" w:cs="宋体" w:hint="eastAsia"/>
                <w:kern w:val="0"/>
                <w:szCs w:val="21"/>
              </w:rPr>
              <w:t>21</w:t>
            </w:r>
          </w:p>
        </w:tc>
        <w:tc>
          <w:tcPr>
            <w:tcW w:w="1700" w:type="dxa"/>
            <w:tcBorders>
              <w:bottom w:val="single" w:sz="4" w:space="0" w:color="auto"/>
            </w:tcBorders>
            <w:vAlign w:val="center"/>
          </w:tcPr>
          <w:p w:rsidR="00683C33" w:rsidRPr="00E970CA" w:rsidRDefault="00683C33" w:rsidP="00E00D6E">
            <w:pPr>
              <w:widowControl/>
              <w:jc w:val="center"/>
              <w:rPr>
                <w:rFonts w:ascii="宋体" w:cs="宋体"/>
                <w:kern w:val="0"/>
                <w:szCs w:val="21"/>
              </w:rPr>
            </w:pPr>
            <w:r w:rsidRPr="00E970CA">
              <w:rPr>
                <w:rFonts w:ascii="宋体" w:hAnsi="宋体" w:cs="宋体"/>
                <w:kern w:val="0"/>
                <w:szCs w:val="21"/>
              </w:rPr>
              <w:t>41.02%</w:t>
            </w:r>
          </w:p>
        </w:tc>
      </w:tr>
    </w:tbl>
    <w:p w:rsidR="00683C33" w:rsidRPr="00DD4432" w:rsidRDefault="00683C33" w:rsidP="0089285E">
      <w:pPr>
        <w:jc w:val="left"/>
        <w:outlineLvl w:val="1"/>
        <w:rPr>
          <w:rFonts w:ascii="黑体" w:eastAsia="黑体" w:hAnsi="宋体"/>
          <w:bCs/>
          <w:sz w:val="28"/>
          <w:szCs w:val="28"/>
        </w:rPr>
      </w:pPr>
      <w:bookmarkStart w:id="17" w:name="_Toc435622740"/>
      <w:bookmarkStart w:id="18" w:name="_Toc435623798"/>
      <w:r w:rsidRPr="00DD4432">
        <w:rPr>
          <w:rFonts w:ascii="黑体" w:eastAsia="黑体" w:hAnsi="宋体" w:hint="eastAsia"/>
          <w:bCs/>
          <w:sz w:val="28"/>
          <w:szCs w:val="28"/>
        </w:rPr>
        <w:t>（四）本科生生源情况</w:t>
      </w:r>
      <w:bookmarkEnd w:id="17"/>
      <w:bookmarkEnd w:id="18"/>
    </w:p>
    <w:p w:rsidR="00683C33" w:rsidRPr="00033898" w:rsidRDefault="00683C33" w:rsidP="00683C33">
      <w:pPr>
        <w:spacing w:line="400" w:lineRule="exact"/>
        <w:ind w:firstLineChars="200" w:firstLine="480"/>
        <w:rPr>
          <w:rFonts w:ascii="宋体" w:cs="宋体"/>
          <w:kern w:val="0"/>
          <w:sz w:val="24"/>
        </w:rPr>
      </w:pPr>
      <w:r w:rsidRPr="00033898">
        <w:rPr>
          <w:rFonts w:ascii="宋体" w:hAnsi="宋体" w:cs="Arial"/>
          <w:bCs/>
          <w:sz w:val="24"/>
        </w:rPr>
        <w:t>2015</w:t>
      </w:r>
      <w:r w:rsidRPr="00033898">
        <w:rPr>
          <w:rFonts w:ascii="宋体" w:hAnsi="宋体" w:cs="Arial" w:hint="eastAsia"/>
          <w:bCs/>
          <w:sz w:val="24"/>
        </w:rPr>
        <w:t>年，学院面向福建、安徽、甘肃、广西、贵州、河北、河南、黑龙江、湖北、湖南、吉林、江苏、江西、辽宁、内蒙古、宁夏、山西、陕西、四川、天津、云南、浙江、重庆、上海、广东、新疆、西藏等</w:t>
      </w:r>
      <w:r w:rsidRPr="00033898">
        <w:rPr>
          <w:rFonts w:ascii="宋体" w:hAnsi="宋体" w:cs="Arial"/>
          <w:bCs/>
          <w:sz w:val="24"/>
        </w:rPr>
        <w:t>27</w:t>
      </w:r>
      <w:r w:rsidRPr="00033898">
        <w:rPr>
          <w:rFonts w:ascii="宋体" w:hAnsi="宋体" w:cs="Arial" w:hint="eastAsia"/>
          <w:bCs/>
          <w:sz w:val="24"/>
        </w:rPr>
        <w:t>个省、直辖市、自治区招生，实现了立足福建、辐射全国的整体布局。全国共录取</w:t>
      </w:r>
      <w:r w:rsidRPr="00033898">
        <w:rPr>
          <w:rFonts w:ascii="宋体" w:hAnsi="宋体" w:cs="Arial"/>
          <w:bCs/>
          <w:sz w:val="24"/>
        </w:rPr>
        <w:t>3002</w:t>
      </w:r>
      <w:r w:rsidRPr="00033898">
        <w:rPr>
          <w:rFonts w:ascii="宋体" w:hAnsi="宋体" w:cs="Arial" w:hint="eastAsia"/>
          <w:bCs/>
          <w:sz w:val="24"/>
        </w:rPr>
        <w:t>人，实际报到</w:t>
      </w:r>
      <w:r w:rsidRPr="00033898">
        <w:rPr>
          <w:rFonts w:ascii="宋体" w:hAnsi="宋体" w:cs="Arial"/>
          <w:bCs/>
          <w:sz w:val="24"/>
        </w:rPr>
        <w:t>2847</w:t>
      </w:r>
      <w:r w:rsidRPr="00033898">
        <w:rPr>
          <w:rFonts w:ascii="宋体" w:hAnsi="宋体" w:cs="Arial" w:hint="eastAsia"/>
          <w:bCs/>
          <w:sz w:val="24"/>
        </w:rPr>
        <w:t>人（含专升本），报到率为</w:t>
      </w:r>
      <w:r w:rsidRPr="00033898">
        <w:rPr>
          <w:rFonts w:ascii="宋体" w:hAnsi="宋体" w:cs="Arial"/>
          <w:bCs/>
          <w:sz w:val="24"/>
        </w:rPr>
        <w:t>94.84%</w:t>
      </w:r>
      <w:r w:rsidRPr="00033898">
        <w:rPr>
          <w:rFonts w:ascii="宋体" w:hAnsi="宋体" w:cs="Arial" w:hint="eastAsia"/>
          <w:bCs/>
          <w:sz w:val="24"/>
        </w:rPr>
        <w:t>，其中，普通类录取人数</w:t>
      </w:r>
      <w:r w:rsidRPr="00033898">
        <w:rPr>
          <w:rFonts w:ascii="宋体" w:hAnsi="宋体" w:cs="Arial"/>
          <w:bCs/>
          <w:sz w:val="24"/>
        </w:rPr>
        <w:t>2850</w:t>
      </w:r>
      <w:r w:rsidRPr="00033898">
        <w:rPr>
          <w:rFonts w:ascii="宋体" w:hAnsi="宋体" w:cs="Arial" w:hint="eastAsia"/>
          <w:bCs/>
          <w:sz w:val="24"/>
        </w:rPr>
        <w:t>人，报到人数</w:t>
      </w:r>
      <w:r w:rsidRPr="00033898">
        <w:rPr>
          <w:rFonts w:ascii="宋体" w:hAnsi="宋体" w:cs="Arial"/>
          <w:bCs/>
          <w:sz w:val="24"/>
        </w:rPr>
        <w:t>2720</w:t>
      </w:r>
      <w:r w:rsidRPr="00033898">
        <w:rPr>
          <w:rFonts w:ascii="宋体" w:hAnsi="宋体" w:cs="Arial" w:hint="eastAsia"/>
          <w:bCs/>
          <w:sz w:val="24"/>
        </w:rPr>
        <w:t>人，报到率为</w:t>
      </w:r>
      <w:r w:rsidRPr="00033898">
        <w:rPr>
          <w:rFonts w:ascii="宋体" w:hAnsi="宋体" w:cs="Arial"/>
          <w:bCs/>
          <w:sz w:val="24"/>
        </w:rPr>
        <w:t>95.43%</w:t>
      </w:r>
      <w:r w:rsidRPr="00033898">
        <w:rPr>
          <w:rFonts w:ascii="宋体" w:hAnsi="宋体" w:cs="Arial" w:hint="eastAsia"/>
          <w:bCs/>
          <w:sz w:val="24"/>
        </w:rPr>
        <w:t>，专升本录取人数</w:t>
      </w:r>
      <w:r w:rsidRPr="00033898">
        <w:rPr>
          <w:rFonts w:ascii="宋体" w:hAnsi="宋体" w:cs="Arial"/>
          <w:bCs/>
          <w:sz w:val="24"/>
        </w:rPr>
        <w:t>152</w:t>
      </w:r>
      <w:r w:rsidRPr="00033898">
        <w:rPr>
          <w:rFonts w:ascii="宋体" w:hAnsi="宋体" w:cs="Arial" w:hint="eastAsia"/>
          <w:bCs/>
          <w:sz w:val="24"/>
        </w:rPr>
        <w:t>，报到人数</w:t>
      </w:r>
      <w:r w:rsidRPr="00033898">
        <w:rPr>
          <w:rFonts w:ascii="宋体" w:hAnsi="宋体" w:cs="Arial"/>
          <w:bCs/>
          <w:sz w:val="24"/>
        </w:rPr>
        <w:t>127</w:t>
      </w:r>
      <w:r w:rsidRPr="00033898">
        <w:rPr>
          <w:rFonts w:ascii="宋体" w:hAnsi="宋体" w:cs="Arial" w:hint="eastAsia"/>
          <w:bCs/>
          <w:sz w:val="24"/>
        </w:rPr>
        <w:t>人，报到率为</w:t>
      </w:r>
      <w:r w:rsidRPr="00033898">
        <w:rPr>
          <w:rFonts w:ascii="宋体" w:hAnsi="宋体" w:cs="Arial"/>
          <w:bCs/>
          <w:sz w:val="24"/>
        </w:rPr>
        <w:t>83.55%</w:t>
      </w:r>
      <w:r w:rsidRPr="00033898">
        <w:rPr>
          <w:rFonts w:ascii="宋体" w:hAnsi="宋体" w:cs="Arial" w:hint="eastAsia"/>
          <w:bCs/>
          <w:sz w:val="24"/>
        </w:rPr>
        <w:t>。历年新生实际报到率如图</w:t>
      </w:r>
      <w:r w:rsidRPr="00033898">
        <w:rPr>
          <w:rFonts w:ascii="宋体" w:hAnsi="宋体" w:cs="Arial"/>
          <w:bCs/>
          <w:sz w:val="24"/>
        </w:rPr>
        <w:t>1-2</w:t>
      </w:r>
      <w:r w:rsidRPr="00033898">
        <w:rPr>
          <w:rFonts w:ascii="宋体" w:hAnsi="宋体" w:cs="Arial" w:hint="eastAsia"/>
          <w:bCs/>
          <w:sz w:val="24"/>
        </w:rPr>
        <w:t>所示。其中，在福建省共录取新生</w:t>
      </w:r>
      <w:r w:rsidRPr="00033898">
        <w:rPr>
          <w:rFonts w:ascii="宋体" w:hAnsi="宋体" w:cs="Arial"/>
          <w:bCs/>
          <w:sz w:val="24"/>
        </w:rPr>
        <w:t>1738</w:t>
      </w:r>
      <w:r w:rsidRPr="00033898">
        <w:rPr>
          <w:rFonts w:ascii="宋体" w:hAnsi="宋体" w:cs="Arial" w:hint="eastAsia"/>
          <w:bCs/>
          <w:sz w:val="24"/>
        </w:rPr>
        <w:t>人，其中普通类</w:t>
      </w:r>
      <w:r w:rsidRPr="00033898">
        <w:rPr>
          <w:rFonts w:ascii="宋体" w:hAnsi="宋体" w:cs="Arial"/>
          <w:bCs/>
          <w:sz w:val="24"/>
        </w:rPr>
        <w:t>1376</w:t>
      </w:r>
      <w:r w:rsidRPr="00033898">
        <w:rPr>
          <w:rFonts w:ascii="宋体" w:hAnsi="宋体" w:cs="Arial" w:hint="eastAsia"/>
          <w:bCs/>
          <w:sz w:val="24"/>
        </w:rPr>
        <w:t>名，高职招考</w:t>
      </w:r>
      <w:r w:rsidRPr="00033898">
        <w:rPr>
          <w:rFonts w:ascii="宋体" w:hAnsi="宋体" w:cs="Arial"/>
          <w:bCs/>
          <w:sz w:val="24"/>
        </w:rPr>
        <w:t>212</w:t>
      </w:r>
      <w:r w:rsidRPr="00033898">
        <w:rPr>
          <w:rFonts w:ascii="宋体" w:hAnsi="宋体" w:cs="Arial" w:hint="eastAsia"/>
          <w:bCs/>
          <w:sz w:val="24"/>
        </w:rPr>
        <w:t>名，专升本</w:t>
      </w:r>
      <w:r w:rsidRPr="00033898">
        <w:rPr>
          <w:rFonts w:ascii="宋体" w:hAnsi="宋体" w:cs="Arial"/>
          <w:bCs/>
          <w:sz w:val="24"/>
        </w:rPr>
        <w:t>150</w:t>
      </w:r>
      <w:r w:rsidRPr="00033898">
        <w:rPr>
          <w:rFonts w:ascii="宋体" w:hAnsi="宋体" w:cs="Arial" w:hint="eastAsia"/>
          <w:bCs/>
          <w:sz w:val="24"/>
        </w:rPr>
        <w:t>名；普通理工类</w:t>
      </w:r>
      <w:r w:rsidRPr="00033898">
        <w:rPr>
          <w:rFonts w:ascii="宋体" w:hAnsi="宋体" w:cs="Arial"/>
          <w:bCs/>
          <w:sz w:val="24"/>
        </w:rPr>
        <w:t>1129</w:t>
      </w:r>
      <w:r w:rsidRPr="00033898">
        <w:rPr>
          <w:rFonts w:ascii="宋体" w:hAnsi="宋体" w:cs="Arial" w:hint="eastAsia"/>
          <w:bCs/>
          <w:sz w:val="24"/>
        </w:rPr>
        <w:t>名，普通文史类</w:t>
      </w:r>
      <w:r w:rsidRPr="00033898">
        <w:rPr>
          <w:rFonts w:ascii="宋体" w:hAnsi="宋体" w:cs="Arial"/>
          <w:bCs/>
          <w:sz w:val="24"/>
        </w:rPr>
        <w:t>178</w:t>
      </w:r>
      <w:r w:rsidRPr="00033898">
        <w:rPr>
          <w:rFonts w:ascii="宋体" w:hAnsi="宋体" w:cs="Arial" w:hint="eastAsia"/>
          <w:bCs/>
          <w:sz w:val="24"/>
        </w:rPr>
        <w:t>名，艺术类</w:t>
      </w:r>
      <w:r w:rsidRPr="00033898">
        <w:rPr>
          <w:rFonts w:ascii="宋体" w:hAnsi="宋体" w:cs="Arial"/>
          <w:bCs/>
          <w:sz w:val="24"/>
        </w:rPr>
        <w:t>69</w:t>
      </w:r>
      <w:r w:rsidRPr="00033898">
        <w:rPr>
          <w:rFonts w:ascii="宋体" w:hAnsi="宋体" w:cs="Arial" w:hint="eastAsia"/>
          <w:bCs/>
          <w:sz w:val="24"/>
        </w:rPr>
        <w:t>名。省外共录取</w:t>
      </w:r>
      <w:r w:rsidRPr="00033898">
        <w:rPr>
          <w:rFonts w:ascii="宋体" w:hAnsi="宋体" w:cs="Arial"/>
          <w:bCs/>
          <w:sz w:val="24"/>
        </w:rPr>
        <w:t>1262</w:t>
      </w:r>
      <w:r w:rsidRPr="00033898">
        <w:rPr>
          <w:rFonts w:ascii="宋体" w:hAnsi="宋体" w:cs="Arial" w:hint="eastAsia"/>
          <w:bCs/>
          <w:sz w:val="24"/>
        </w:rPr>
        <w:t>人，占招生总规模</w:t>
      </w:r>
      <w:r w:rsidRPr="00033898">
        <w:rPr>
          <w:rFonts w:ascii="宋体" w:hAnsi="宋体" w:cs="Arial"/>
          <w:bCs/>
          <w:sz w:val="24"/>
        </w:rPr>
        <w:t>42.04%</w:t>
      </w:r>
      <w:r w:rsidRPr="00033898">
        <w:rPr>
          <w:rFonts w:ascii="宋体" w:hAnsi="宋体" w:cs="Arial" w:hint="eastAsia"/>
          <w:bCs/>
          <w:sz w:val="24"/>
        </w:rPr>
        <w:t>，省外生源分布情况如图</w:t>
      </w:r>
      <w:r w:rsidRPr="00033898">
        <w:rPr>
          <w:rFonts w:ascii="宋体" w:hAnsi="宋体" w:cs="Arial"/>
          <w:bCs/>
          <w:sz w:val="24"/>
        </w:rPr>
        <w:t>1-3</w:t>
      </w:r>
      <w:r w:rsidRPr="00033898">
        <w:rPr>
          <w:rFonts w:ascii="宋体" w:hAnsi="宋体" w:cs="Arial" w:hint="eastAsia"/>
          <w:bCs/>
          <w:sz w:val="24"/>
        </w:rPr>
        <w:t>所示。</w:t>
      </w:r>
    </w:p>
    <w:p w:rsidR="00683C33" w:rsidRDefault="00683C33" w:rsidP="00683C33">
      <w:r>
        <w:rPr>
          <w:rFonts w:ascii="宋体"/>
          <w:noProof/>
          <w:sz w:val="24"/>
        </w:rPr>
        <w:drawing>
          <wp:inline distT="0" distB="0" distL="0" distR="0">
            <wp:extent cx="5048250" cy="3038475"/>
            <wp:effectExtent l="0" t="0" r="0" b="0"/>
            <wp:docPr id="2" name="图表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83C33" w:rsidRPr="00346CDF" w:rsidRDefault="00683C33" w:rsidP="00683C33">
      <w:pPr>
        <w:jc w:val="center"/>
        <w:rPr>
          <w:rFonts w:ascii="宋体" w:cs="Arial"/>
          <w:bCs/>
          <w:szCs w:val="21"/>
        </w:rPr>
      </w:pPr>
      <w:r w:rsidRPr="00346CDF">
        <w:rPr>
          <w:rFonts w:ascii="宋体" w:hAnsi="宋体" w:cs="Arial" w:hint="eastAsia"/>
          <w:bCs/>
          <w:szCs w:val="21"/>
        </w:rPr>
        <w:t>图</w:t>
      </w:r>
      <w:r w:rsidRPr="00346CDF">
        <w:rPr>
          <w:rFonts w:ascii="宋体" w:hAnsi="宋体" w:cs="Arial"/>
          <w:bCs/>
          <w:szCs w:val="21"/>
        </w:rPr>
        <w:t xml:space="preserve">1-2 </w:t>
      </w:r>
      <w:r w:rsidRPr="00346CDF">
        <w:rPr>
          <w:rFonts w:ascii="宋体" w:hAnsi="宋体" w:cs="Arial" w:hint="eastAsia"/>
          <w:bCs/>
          <w:szCs w:val="21"/>
        </w:rPr>
        <w:t>历年新生实际报到率</w:t>
      </w:r>
    </w:p>
    <w:p w:rsidR="00683C33" w:rsidRDefault="00683C33" w:rsidP="00180B1D">
      <w:pPr>
        <w:spacing w:beforeLines="50"/>
      </w:pPr>
      <w:r>
        <w:rPr>
          <w:rFonts w:ascii="宋体"/>
          <w:b/>
          <w:noProof/>
          <w:color w:val="000000"/>
          <w:sz w:val="24"/>
        </w:rPr>
        <w:lastRenderedPageBreak/>
        <w:drawing>
          <wp:inline distT="0" distB="0" distL="0" distR="0">
            <wp:extent cx="5276850" cy="3562350"/>
            <wp:effectExtent l="0" t="0" r="0" b="0"/>
            <wp:docPr id="3" name="图表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83C33" w:rsidRPr="00346CDF" w:rsidRDefault="00683C33" w:rsidP="00180B1D">
      <w:pPr>
        <w:spacing w:beforeLines="50"/>
        <w:jc w:val="center"/>
        <w:rPr>
          <w:rFonts w:ascii="宋体" w:cs="Arial"/>
          <w:bCs/>
          <w:szCs w:val="21"/>
        </w:rPr>
      </w:pPr>
      <w:r w:rsidRPr="00346CDF">
        <w:rPr>
          <w:rFonts w:ascii="宋体" w:hAnsi="宋体" w:cs="Arial" w:hint="eastAsia"/>
          <w:bCs/>
          <w:szCs w:val="21"/>
        </w:rPr>
        <w:t>图</w:t>
      </w:r>
      <w:r w:rsidRPr="00346CDF">
        <w:rPr>
          <w:rFonts w:ascii="宋体" w:hAnsi="宋体" w:cs="Arial"/>
          <w:bCs/>
          <w:szCs w:val="21"/>
        </w:rPr>
        <w:t>1-3   2014</w:t>
      </w:r>
      <w:r w:rsidRPr="00346CDF">
        <w:rPr>
          <w:rFonts w:ascii="宋体" w:hAnsi="宋体" w:cs="Arial" w:hint="eastAsia"/>
          <w:bCs/>
          <w:szCs w:val="21"/>
        </w:rPr>
        <w:t>年省外生源分布情况</w:t>
      </w:r>
    </w:p>
    <w:p w:rsidR="00683C33" w:rsidRDefault="00683C33" w:rsidP="00180B1D">
      <w:pPr>
        <w:spacing w:beforeLines="50"/>
        <w:jc w:val="center"/>
        <w:rPr>
          <w:rFonts w:ascii="Arial" w:hAnsi="Arial" w:cs="Arial"/>
          <w:bCs/>
          <w:szCs w:val="21"/>
        </w:rPr>
      </w:pPr>
    </w:p>
    <w:p w:rsidR="00683C33" w:rsidRDefault="00683C33" w:rsidP="00683C33">
      <w:pPr>
        <w:ind w:firstLineChars="200" w:firstLine="480"/>
        <w:rPr>
          <w:rFonts w:ascii="Arial" w:hAnsi="Arial" w:cs="Arial"/>
          <w:sz w:val="24"/>
        </w:rPr>
      </w:pPr>
      <w:r>
        <w:rPr>
          <w:rFonts w:ascii="Arial" w:hAnsi="Arial" w:cs="Arial" w:hint="eastAsia"/>
          <w:sz w:val="24"/>
        </w:rPr>
        <w:t>近年来，随着学院社会声誉提升和办学水平提高，生源质量稳中有升。学院历年新生高考平均分与本二线分差值统计（仅</w:t>
      </w:r>
      <w:r w:rsidR="00361A24">
        <w:rPr>
          <w:rFonts w:ascii="Arial" w:hAnsi="Arial" w:cs="Arial" w:hint="eastAsia"/>
          <w:sz w:val="24"/>
        </w:rPr>
        <w:t>以</w:t>
      </w:r>
      <w:r>
        <w:rPr>
          <w:rFonts w:ascii="Arial" w:hAnsi="Arial" w:cs="Arial" w:hint="eastAsia"/>
          <w:sz w:val="24"/>
        </w:rPr>
        <w:t>福建省生源</w:t>
      </w:r>
      <w:r w:rsidR="00361A24">
        <w:rPr>
          <w:rFonts w:ascii="Arial" w:hAnsi="Arial" w:cs="Arial" w:hint="eastAsia"/>
          <w:sz w:val="24"/>
        </w:rPr>
        <w:t>为</w:t>
      </w:r>
      <w:r w:rsidR="00AD5EEF">
        <w:rPr>
          <w:rFonts w:ascii="Arial" w:hAnsi="Arial" w:cs="Arial" w:hint="eastAsia"/>
          <w:sz w:val="24"/>
        </w:rPr>
        <w:t>例</w:t>
      </w:r>
      <w:r>
        <w:rPr>
          <w:rFonts w:ascii="Arial" w:hAnsi="Arial" w:cs="Arial" w:hint="eastAsia"/>
          <w:sz w:val="24"/>
        </w:rPr>
        <w:t>），如表</w:t>
      </w:r>
      <w:r>
        <w:rPr>
          <w:rFonts w:ascii="Arial" w:hAnsi="Arial" w:cs="Arial"/>
          <w:sz w:val="24"/>
        </w:rPr>
        <w:t>1-4</w:t>
      </w:r>
      <w:r>
        <w:rPr>
          <w:rFonts w:ascii="Arial" w:hAnsi="Arial" w:cs="Arial" w:hint="eastAsia"/>
          <w:sz w:val="24"/>
        </w:rPr>
        <w:t>、图</w:t>
      </w:r>
      <w:r>
        <w:rPr>
          <w:rFonts w:ascii="Arial" w:hAnsi="Arial" w:cs="Arial"/>
          <w:sz w:val="24"/>
        </w:rPr>
        <w:t>1-4</w:t>
      </w:r>
      <w:r>
        <w:rPr>
          <w:rFonts w:ascii="Arial" w:hAnsi="Arial" w:cs="Arial" w:hint="eastAsia"/>
          <w:sz w:val="24"/>
        </w:rPr>
        <w:t>所示。</w:t>
      </w:r>
    </w:p>
    <w:p w:rsidR="00683C33" w:rsidRDefault="00683C33" w:rsidP="00683C33">
      <w:pPr>
        <w:ind w:firstLineChars="200" w:firstLine="480"/>
        <w:rPr>
          <w:rFonts w:ascii="Arial" w:hAnsi="Arial" w:cs="Arial"/>
          <w:sz w:val="24"/>
        </w:rPr>
      </w:pPr>
    </w:p>
    <w:p w:rsidR="00683C33" w:rsidRPr="00346CDF" w:rsidRDefault="00683C33" w:rsidP="00683C33">
      <w:pPr>
        <w:ind w:firstLineChars="200" w:firstLine="420"/>
        <w:jc w:val="center"/>
        <w:rPr>
          <w:rFonts w:ascii="宋体" w:cs="Arial"/>
          <w:sz w:val="24"/>
        </w:rPr>
      </w:pPr>
      <w:r w:rsidRPr="00346CDF">
        <w:rPr>
          <w:rFonts w:ascii="宋体" w:hAnsi="宋体" w:hint="eastAsia"/>
          <w:color w:val="000000"/>
          <w:szCs w:val="21"/>
        </w:rPr>
        <w:t>表</w:t>
      </w:r>
      <w:r w:rsidRPr="00346CDF">
        <w:rPr>
          <w:rFonts w:ascii="宋体" w:hAnsi="宋体"/>
          <w:color w:val="000000"/>
          <w:szCs w:val="21"/>
        </w:rPr>
        <w:t xml:space="preserve">1-4  </w:t>
      </w:r>
      <w:r w:rsidRPr="00346CDF">
        <w:rPr>
          <w:rFonts w:ascii="宋体" w:hAnsi="宋体" w:hint="eastAsia"/>
          <w:color w:val="000000"/>
          <w:szCs w:val="21"/>
        </w:rPr>
        <w:t>福建省</w:t>
      </w:r>
      <w:r w:rsidRPr="00346CDF">
        <w:rPr>
          <w:rFonts w:ascii="宋体" w:hAnsi="宋体" w:cs="Arial" w:hint="eastAsia"/>
          <w:bCs/>
          <w:szCs w:val="21"/>
        </w:rPr>
        <w:t>历年新生高考平均分与本二线分差统计</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32"/>
        <w:gridCol w:w="1208"/>
        <w:gridCol w:w="1606"/>
        <w:gridCol w:w="1426"/>
        <w:gridCol w:w="1208"/>
        <w:gridCol w:w="1606"/>
        <w:gridCol w:w="1426"/>
      </w:tblGrid>
      <w:tr w:rsidR="00683C33" w:rsidTr="00E00D6E">
        <w:trPr>
          <w:trHeight w:val="1597"/>
          <w:jc w:val="center"/>
        </w:trPr>
        <w:tc>
          <w:tcPr>
            <w:tcW w:w="1632" w:type="dxa"/>
            <w:vAlign w:val="center"/>
          </w:tcPr>
          <w:p w:rsidR="00683C33" w:rsidRDefault="0086746D" w:rsidP="00E00D6E">
            <w:pPr>
              <w:widowControl/>
              <w:jc w:val="center"/>
              <w:rPr>
                <w:rFonts w:ascii="宋体" w:cs="宋体"/>
                <w:b/>
                <w:bCs/>
                <w:color w:val="000000"/>
                <w:kern w:val="0"/>
                <w:sz w:val="22"/>
                <w:szCs w:val="22"/>
              </w:rPr>
            </w:pPr>
            <w:r w:rsidRPr="0086746D">
              <w:rPr>
                <w:noProof/>
              </w:rPr>
              <w:pict>
                <v:group id="__TH_G22小六138" o:spid="_x0000_s2056" style="position:absolute;left:0;text-align:left;margin-left:-6.3pt;margin-top:.2pt;width:80.8pt;height:76.35pt;z-index:251661312" coordsize="1612,958">
                  <v:line id="__TH_L130" o:spid="_x0000_s2057" style="position:absolute" from="806,0" to="1612,958" o:preferrelative="t" strokeweight=".5pt">
                    <v:stroke miterlimit="2"/>
                  </v:line>
                  <v:line id="__TH_L131" o:spid="_x0000_s2058" style="position:absolute" from="0,479" to="1612,958" o:preferrelative="t" strokeweight=".5pt">
                    <v:stroke miterlimit="2"/>
                  </v:line>
                  <v:shape id="__TH_B11132" o:spid="_x0000_s2059" type="#_x0000_t202" style="position:absolute;left:1247;top:152;width:153;height:163" o:preferrelative="t" filled="f" stroked="f">
                    <v:textbox style="mso-next-textbox:#__TH_B11132" inset="0,0,0,0">
                      <w:txbxContent>
                        <w:p w:rsidR="00683C33" w:rsidRDefault="00683C33" w:rsidP="00683C33">
                          <w:pPr>
                            <w:snapToGrid w:val="0"/>
                            <w:rPr>
                              <w:color w:val="000000"/>
                              <w:sz w:val="13"/>
                            </w:rPr>
                          </w:pPr>
                          <w:r>
                            <w:rPr>
                              <w:rFonts w:hint="eastAsia"/>
                              <w:color w:val="000000"/>
                              <w:sz w:val="13"/>
                            </w:rPr>
                            <w:t>项</w:t>
                          </w:r>
                        </w:p>
                      </w:txbxContent>
                    </v:textbox>
                  </v:shape>
                  <v:shape id="__TH_B12133" o:spid="_x0000_s2060" type="#_x0000_t202" style="position:absolute;left:1389;top:489;width:152;height:162" o:preferrelative="t" filled="f" stroked="f">
                    <v:textbox style="mso-next-textbox:#__TH_B12133" inset="0,0,0,0">
                      <w:txbxContent>
                        <w:p w:rsidR="00683C33" w:rsidRDefault="00683C33" w:rsidP="00683C33">
                          <w:pPr>
                            <w:snapToGrid w:val="0"/>
                            <w:rPr>
                              <w:color w:val="000000"/>
                              <w:sz w:val="13"/>
                            </w:rPr>
                          </w:pPr>
                          <w:r>
                            <w:rPr>
                              <w:rFonts w:hint="eastAsia"/>
                              <w:color w:val="000000"/>
                              <w:sz w:val="13"/>
                            </w:rPr>
                            <w:t>目</w:t>
                          </w:r>
                        </w:p>
                      </w:txbxContent>
                    </v:textbox>
                  </v:shape>
                  <v:shape id="__TH_B21134" o:spid="_x0000_s2061" type="#_x0000_t202" style="position:absolute;left:379;top:180;width:152;height:162" o:preferrelative="t" filled="f" stroked="f">
                    <v:textbox style="mso-next-textbox:#__TH_B21134" inset="0,0,0,0">
                      <w:txbxContent>
                        <w:p w:rsidR="00683C33" w:rsidRDefault="00683C33" w:rsidP="00683C33">
                          <w:pPr>
                            <w:snapToGrid w:val="0"/>
                            <w:rPr>
                              <w:color w:val="000000"/>
                              <w:sz w:val="13"/>
                            </w:rPr>
                          </w:pPr>
                          <w:r>
                            <w:rPr>
                              <w:rFonts w:hint="eastAsia"/>
                              <w:color w:val="000000"/>
                              <w:sz w:val="13"/>
                            </w:rPr>
                            <w:t>成</w:t>
                          </w:r>
                        </w:p>
                      </w:txbxContent>
                    </v:textbox>
                  </v:shape>
                  <v:shape id="__TH_B22135" o:spid="_x0000_s2062" type="#_x0000_t202" style="position:absolute;left:1038;top:571;width:152;height:163" o:preferrelative="t" filled="f" stroked="f">
                    <v:textbox style="mso-next-textbox:#__TH_B22135" inset="0,0,0,0">
                      <w:txbxContent>
                        <w:p w:rsidR="00683C33" w:rsidRDefault="00683C33" w:rsidP="00683C33">
                          <w:pPr>
                            <w:snapToGrid w:val="0"/>
                            <w:rPr>
                              <w:color w:val="000000"/>
                              <w:sz w:val="13"/>
                            </w:rPr>
                          </w:pPr>
                          <w:r>
                            <w:rPr>
                              <w:rFonts w:hint="eastAsia"/>
                              <w:color w:val="000000"/>
                              <w:sz w:val="13"/>
                            </w:rPr>
                            <w:t>绩</w:t>
                          </w:r>
                        </w:p>
                      </w:txbxContent>
                    </v:textbox>
                  </v:shape>
                  <v:shape id="__TH_B31136" o:spid="_x0000_s2063" type="#_x0000_t202" style="position:absolute;left:282;top:688;width:153;height:163" o:preferrelative="t" filled="f" stroked="f">
                    <v:textbox style="mso-next-textbox:#__TH_B31136" inset="0,0,0,0">
                      <w:txbxContent>
                        <w:p w:rsidR="00683C33" w:rsidRDefault="00683C33" w:rsidP="00683C33">
                          <w:pPr>
                            <w:snapToGrid w:val="0"/>
                            <w:rPr>
                              <w:color w:val="000000"/>
                              <w:sz w:val="13"/>
                            </w:rPr>
                          </w:pPr>
                          <w:r>
                            <w:rPr>
                              <w:rFonts w:hint="eastAsia"/>
                              <w:color w:val="000000"/>
                              <w:sz w:val="13"/>
                            </w:rPr>
                            <w:t>年</w:t>
                          </w:r>
                        </w:p>
                      </w:txbxContent>
                    </v:textbox>
                  </v:shape>
                  <v:shape id="__TH_B32137" o:spid="_x0000_s2064" type="#_x0000_t202" style="position:absolute;left:846;top:771;width:135;height:162" o:preferrelative="t" filled="f" stroked="f">
                    <v:textbox style="mso-next-textbox:#__TH_B32137" inset="0,0,0,0">
                      <w:txbxContent>
                        <w:p w:rsidR="00683C33" w:rsidRDefault="00683C33" w:rsidP="00683C33">
                          <w:pPr>
                            <w:snapToGrid w:val="0"/>
                            <w:rPr>
                              <w:color w:val="000000"/>
                              <w:sz w:val="13"/>
                            </w:rPr>
                          </w:pPr>
                          <w:r>
                            <w:rPr>
                              <w:rFonts w:hint="eastAsia"/>
                              <w:color w:val="000000"/>
                              <w:sz w:val="13"/>
                            </w:rPr>
                            <w:t>份</w:t>
                          </w:r>
                        </w:p>
                      </w:txbxContent>
                    </v:textbox>
                  </v:shape>
                </v:group>
              </w:pict>
            </w:r>
          </w:p>
        </w:tc>
        <w:tc>
          <w:tcPr>
            <w:tcW w:w="1208"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理工本二录取线</w:t>
            </w:r>
          </w:p>
        </w:tc>
        <w:tc>
          <w:tcPr>
            <w:tcW w:w="1606"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新生高考</w:t>
            </w:r>
          </w:p>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平均分</w:t>
            </w:r>
          </w:p>
        </w:tc>
        <w:tc>
          <w:tcPr>
            <w:tcW w:w="1426"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分差</w:t>
            </w:r>
          </w:p>
        </w:tc>
        <w:tc>
          <w:tcPr>
            <w:tcW w:w="1208"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文史本二录取线</w:t>
            </w:r>
          </w:p>
        </w:tc>
        <w:tc>
          <w:tcPr>
            <w:tcW w:w="1606"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新生高考</w:t>
            </w:r>
          </w:p>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平均分</w:t>
            </w:r>
          </w:p>
        </w:tc>
        <w:tc>
          <w:tcPr>
            <w:tcW w:w="1426" w:type="dxa"/>
            <w:vAlign w:val="center"/>
          </w:tcPr>
          <w:p w:rsidR="00683C33" w:rsidRDefault="00683C33" w:rsidP="00E00D6E">
            <w:pPr>
              <w:widowControl/>
              <w:jc w:val="center"/>
              <w:rPr>
                <w:rFonts w:ascii="宋体" w:cs="宋体"/>
                <w:bCs/>
                <w:color w:val="000000"/>
                <w:kern w:val="0"/>
                <w:szCs w:val="21"/>
              </w:rPr>
            </w:pPr>
            <w:r>
              <w:rPr>
                <w:rFonts w:ascii="宋体" w:hAnsi="宋体" w:cs="宋体" w:hint="eastAsia"/>
                <w:bCs/>
                <w:color w:val="000000"/>
                <w:kern w:val="0"/>
                <w:szCs w:val="21"/>
              </w:rPr>
              <w:t>分差</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2003</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430</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419.18</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-10.81</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463</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445.66</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-17.33</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2004</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456</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424.45</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-31.54</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485</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463.13</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-21.86</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2005</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470</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451.99</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-18.00</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492</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482.17</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-9.82</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2006</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490</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465.80</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-24.19</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514</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499.89</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-14.10</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2007</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495</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485.13</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-9.86</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505</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502.14</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-2.85</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2008</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471</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467.90</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-3.09</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487</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486.91</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-0.08</w:t>
            </w:r>
          </w:p>
        </w:tc>
      </w:tr>
      <w:tr w:rsidR="00683C33" w:rsidTr="00E00D6E">
        <w:trPr>
          <w:trHeight w:val="285"/>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2009</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500</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501.01</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1.01</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518</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529.47</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11.47</w:t>
            </w:r>
          </w:p>
        </w:tc>
      </w:tr>
      <w:tr w:rsidR="00683C33" w:rsidTr="00E00D6E">
        <w:trPr>
          <w:trHeight w:val="300"/>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2010</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472</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477.16</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5.16</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494</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503.67</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9.67</w:t>
            </w:r>
          </w:p>
        </w:tc>
      </w:tr>
      <w:tr w:rsidR="00683C33" w:rsidTr="00E00D6E">
        <w:trPr>
          <w:trHeight w:val="300"/>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2011</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460</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509.36</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49.36</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473</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515.43</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42.43</w:t>
            </w:r>
          </w:p>
        </w:tc>
      </w:tr>
      <w:tr w:rsidR="00683C33" w:rsidTr="00E00D6E">
        <w:trPr>
          <w:trHeight w:val="300"/>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2012</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435</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488.36</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53.36</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466</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512.02</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46.02</w:t>
            </w:r>
          </w:p>
        </w:tc>
      </w:tr>
      <w:tr w:rsidR="00683C33" w:rsidTr="00E00D6E">
        <w:trPr>
          <w:trHeight w:val="300"/>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t>2013</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401</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443</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42</w:t>
            </w:r>
          </w:p>
        </w:tc>
        <w:tc>
          <w:tcPr>
            <w:tcW w:w="1208"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431</w:t>
            </w:r>
          </w:p>
        </w:tc>
        <w:tc>
          <w:tcPr>
            <w:tcW w:w="160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471</w:t>
            </w:r>
          </w:p>
        </w:tc>
        <w:tc>
          <w:tcPr>
            <w:tcW w:w="1426" w:type="dxa"/>
            <w:vAlign w:val="center"/>
          </w:tcPr>
          <w:p w:rsidR="00683C33" w:rsidRDefault="00683C33" w:rsidP="00E00D6E">
            <w:pPr>
              <w:widowControl/>
              <w:jc w:val="center"/>
              <w:rPr>
                <w:rFonts w:ascii="宋体" w:cs="宋体"/>
                <w:color w:val="000000"/>
                <w:kern w:val="0"/>
                <w:sz w:val="22"/>
                <w:szCs w:val="22"/>
              </w:rPr>
            </w:pPr>
            <w:r>
              <w:rPr>
                <w:rFonts w:ascii="宋体" w:hAnsi="宋体" w:cs="宋体"/>
                <w:color w:val="000000"/>
                <w:kern w:val="0"/>
                <w:sz w:val="22"/>
                <w:szCs w:val="22"/>
              </w:rPr>
              <w:t>40</w:t>
            </w:r>
          </w:p>
        </w:tc>
      </w:tr>
      <w:tr w:rsidR="00683C33" w:rsidTr="00E00D6E">
        <w:trPr>
          <w:trHeight w:val="300"/>
          <w:jc w:val="center"/>
        </w:trPr>
        <w:tc>
          <w:tcPr>
            <w:tcW w:w="1632" w:type="dxa"/>
            <w:vAlign w:val="center"/>
          </w:tcPr>
          <w:p w:rsidR="00683C33" w:rsidRDefault="00683C33" w:rsidP="00E00D6E">
            <w:pPr>
              <w:widowControl/>
              <w:jc w:val="center"/>
              <w:rPr>
                <w:rFonts w:ascii="宋体" w:cs="宋体"/>
                <w:bCs/>
                <w:color w:val="000000"/>
                <w:kern w:val="0"/>
                <w:sz w:val="22"/>
                <w:szCs w:val="22"/>
              </w:rPr>
            </w:pPr>
            <w:r>
              <w:rPr>
                <w:rFonts w:ascii="宋体" w:hAnsi="宋体" w:cs="宋体"/>
                <w:bCs/>
                <w:color w:val="000000"/>
                <w:kern w:val="0"/>
                <w:sz w:val="22"/>
                <w:szCs w:val="22"/>
              </w:rPr>
              <w:lastRenderedPageBreak/>
              <w:t>2014</w:t>
            </w:r>
          </w:p>
        </w:tc>
        <w:tc>
          <w:tcPr>
            <w:tcW w:w="1208"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408</w:t>
            </w:r>
          </w:p>
        </w:tc>
        <w:tc>
          <w:tcPr>
            <w:tcW w:w="160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452</w:t>
            </w:r>
          </w:p>
        </w:tc>
        <w:tc>
          <w:tcPr>
            <w:tcW w:w="142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44</w:t>
            </w:r>
          </w:p>
        </w:tc>
        <w:tc>
          <w:tcPr>
            <w:tcW w:w="1208"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482</w:t>
            </w:r>
          </w:p>
        </w:tc>
        <w:tc>
          <w:tcPr>
            <w:tcW w:w="160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526</w:t>
            </w:r>
          </w:p>
        </w:tc>
        <w:tc>
          <w:tcPr>
            <w:tcW w:w="142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44</w:t>
            </w:r>
          </w:p>
        </w:tc>
      </w:tr>
      <w:tr w:rsidR="00683C33" w:rsidTr="00E00D6E">
        <w:trPr>
          <w:trHeight w:val="300"/>
          <w:jc w:val="center"/>
        </w:trPr>
        <w:tc>
          <w:tcPr>
            <w:tcW w:w="1632" w:type="dxa"/>
            <w:vAlign w:val="center"/>
          </w:tcPr>
          <w:p w:rsidR="00683C33" w:rsidRDefault="00683C33" w:rsidP="00E00D6E">
            <w:pPr>
              <w:widowControl/>
              <w:jc w:val="center"/>
              <w:rPr>
                <w:rFonts w:ascii="宋体" w:hAnsi="宋体" w:cs="宋体"/>
                <w:b/>
                <w:bCs/>
                <w:color w:val="000000"/>
                <w:kern w:val="0"/>
                <w:sz w:val="22"/>
                <w:szCs w:val="22"/>
              </w:rPr>
            </w:pPr>
            <w:r>
              <w:rPr>
                <w:rFonts w:ascii="宋体" w:hAnsi="宋体" w:cs="宋体"/>
                <w:b/>
                <w:bCs/>
                <w:color w:val="000000"/>
                <w:kern w:val="0"/>
                <w:sz w:val="22"/>
                <w:szCs w:val="22"/>
              </w:rPr>
              <w:t>2015</w:t>
            </w:r>
          </w:p>
        </w:tc>
        <w:tc>
          <w:tcPr>
            <w:tcW w:w="1208"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410</w:t>
            </w:r>
          </w:p>
        </w:tc>
        <w:tc>
          <w:tcPr>
            <w:tcW w:w="160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468.17</w:t>
            </w:r>
          </w:p>
        </w:tc>
        <w:tc>
          <w:tcPr>
            <w:tcW w:w="142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58.17</w:t>
            </w:r>
          </w:p>
        </w:tc>
        <w:tc>
          <w:tcPr>
            <w:tcW w:w="1208"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462</w:t>
            </w:r>
          </w:p>
        </w:tc>
        <w:tc>
          <w:tcPr>
            <w:tcW w:w="160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514.76</w:t>
            </w:r>
          </w:p>
        </w:tc>
        <w:tc>
          <w:tcPr>
            <w:tcW w:w="1426" w:type="dxa"/>
            <w:vAlign w:val="center"/>
          </w:tcPr>
          <w:p w:rsidR="00683C33" w:rsidRDefault="00683C33" w:rsidP="00E00D6E">
            <w:pPr>
              <w:widowControl/>
              <w:jc w:val="center"/>
              <w:rPr>
                <w:rFonts w:ascii="宋体" w:hAnsi="宋体" w:cs="宋体"/>
                <w:color w:val="000000"/>
                <w:kern w:val="0"/>
                <w:sz w:val="22"/>
                <w:szCs w:val="22"/>
              </w:rPr>
            </w:pPr>
            <w:r>
              <w:rPr>
                <w:rFonts w:ascii="宋体" w:hAnsi="宋体" w:cs="宋体"/>
                <w:color w:val="000000"/>
                <w:kern w:val="0"/>
                <w:sz w:val="22"/>
                <w:szCs w:val="22"/>
              </w:rPr>
              <w:t>52.76</w:t>
            </w:r>
          </w:p>
        </w:tc>
      </w:tr>
    </w:tbl>
    <w:p w:rsidR="00683C33" w:rsidRDefault="00683C33" w:rsidP="00180B1D">
      <w:pPr>
        <w:spacing w:beforeLines="50"/>
        <w:jc w:val="center"/>
        <w:rPr>
          <w:rFonts w:ascii="Arial" w:hAnsi="Arial" w:cs="Arial"/>
          <w:noProof/>
          <w:sz w:val="24"/>
        </w:rPr>
      </w:pPr>
      <w:r>
        <w:rPr>
          <w:noProof/>
        </w:rPr>
        <w:drawing>
          <wp:inline distT="0" distB="0" distL="0" distR="0">
            <wp:extent cx="6257925" cy="3095625"/>
            <wp:effectExtent l="0" t="0" r="0" b="0"/>
            <wp:docPr id="4"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83C33" w:rsidRPr="00346CDF" w:rsidRDefault="00683C33" w:rsidP="00180B1D">
      <w:pPr>
        <w:spacing w:beforeLines="50"/>
        <w:jc w:val="center"/>
        <w:rPr>
          <w:rFonts w:ascii="宋体" w:cs="Arial"/>
          <w:bCs/>
          <w:sz w:val="24"/>
          <w:highlight w:val="yellow"/>
        </w:rPr>
      </w:pPr>
      <w:r w:rsidRPr="00346CDF">
        <w:rPr>
          <w:rFonts w:ascii="宋体" w:hAnsi="宋体" w:hint="eastAsia"/>
        </w:rPr>
        <w:t>图</w:t>
      </w:r>
      <w:r w:rsidRPr="00346CDF">
        <w:rPr>
          <w:rFonts w:ascii="宋体" w:hAnsi="宋体"/>
        </w:rPr>
        <w:t xml:space="preserve">1-4  </w:t>
      </w:r>
      <w:r w:rsidRPr="00346CDF">
        <w:rPr>
          <w:rFonts w:ascii="宋体" w:hAnsi="宋体" w:hint="eastAsia"/>
        </w:rPr>
        <w:t>福建省</w:t>
      </w:r>
      <w:r w:rsidRPr="00346CDF">
        <w:rPr>
          <w:rFonts w:ascii="宋体" w:hAnsi="宋体" w:cs="Arial" w:hint="eastAsia"/>
          <w:bCs/>
          <w:szCs w:val="21"/>
        </w:rPr>
        <w:t>历年新生高考平均分与本二线分差统计</w:t>
      </w:r>
    </w:p>
    <w:p w:rsidR="00683C33" w:rsidRPr="006C024E" w:rsidRDefault="00683C33" w:rsidP="00683C33"/>
    <w:p w:rsidR="00683C33" w:rsidRPr="001D5EF1" w:rsidRDefault="00683C33" w:rsidP="0089285E">
      <w:pPr>
        <w:jc w:val="left"/>
        <w:outlineLvl w:val="0"/>
        <w:rPr>
          <w:rFonts w:ascii="黑体" w:eastAsia="黑体"/>
          <w:bCs/>
          <w:kern w:val="44"/>
          <w:sz w:val="30"/>
          <w:szCs w:val="30"/>
        </w:rPr>
      </w:pPr>
      <w:bookmarkStart w:id="19" w:name="_Toc435622741"/>
      <w:bookmarkStart w:id="20" w:name="_Toc435623799"/>
      <w:r w:rsidRPr="001D5EF1">
        <w:rPr>
          <w:rFonts w:ascii="黑体" w:eastAsia="黑体" w:hint="eastAsia"/>
          <w:bCs/>
          <w:kern w:val="44"/>
          <w:sz w:val="30"/>
          <w:szCs w:val="30"/>
        </w:rPr>
        <w:t>二、师资与教学条件</w:t>
      </w:r>
      <w:bookmarkEnd w:id="19"/>
      <w:bookmarkEnd w:id="20"/>
    </w:p>
    <w:p w:rsidR="00683C33" w:rsidRPr="0089285E" w:rsidRDefault="00683C33" w:rsidP="0089285E">
      <w:pPr>
        <w:jc w:val="left"/>
        <w:outlineLvl w:val="1"/>
        <w:rPr>
          <w:rFonts w:ascii="黑体" w:eastAsia="黑体" w:hAnsi="宋体"/>
          <w:bCs/>
          <w:sz w:val="28"/>
          <w:szCs w:val="28"/>
        </w:rPr>
      </w:pPr>
      <w:bookmarkStart w:id="21" w:name="_Toc435622742"/>
      <w:bookmarkStart w:id="22" w:name="_Toc435623800"/>
      <w:r w:rsidRPr="0089285E">
        <w:rPr>
          <w:rFonts w:ascii="黑体" w:eastAsia="黑体" w:hAnsi="宋体" w:hint="eastAsia"/>
          <w:bCs/>
          <w:sz w:val="28"/>
          <w:szCs w:val="28"/>
        </w:rPr>
        <w:t>（一）师资队伍</w:t>
      </w:r>
      <w:bookmarkEnd w:id="21"/>
      <w:bookmarkEnd w:id="22"/>
    </w:p>
    <w:p w:rsidR="00683C33" w:rsidRPr="004642E9" w:rsidRDefault="00683C33" w:rsidP="00683C33">
      <w:pPr>
        <w:spacing w:line="400" w:lineRule="exact"/>
        <w:ind w:firstLineChars="200" w:firstLine="480"/>
        <w:rPr>
          <w:rFonts w:ascii="宋体" w:cs="Arial"/>
          <w:sz w:val="24"/>
        </w:rPr>
      </w:pPr>
      <w:r>
        <w:rPr>
          <w:rFonts w:ascii="宋体" w:hAnsi="宋体" w:cs="Arial" w:hint="eastAsia"/>
          <w:sz w:val="24"/>
        </w:rPr>
        <w:t>学</w:t>
      </w:r>
      <w:r w:rsidRPr="004642E9">
        <w:rPr>
          <w:rFonts w:ascii="宋体" w:hAnsi="宋体" w:cs="Arial" w:hint="eastAsia"/>
          <w:sz w:val="24"/>
        </w:rPr>
        <w:t>院非常重视师资队伍建设，通过资源整合、集成创新，有效破解了新办本科院校发展的师资瓶颈，教学水平持续提升。</w:t>
      </w:r>
    </w:p>
    <w:p w:rsidR="00683C33" w:rsidRPr="004642E9" w:rsidRDefault="00683C33" w:rsidP="00683C33">
      <w:pPr>
        <w:spacing w:line="400" w:lineRule="exact"/>
        <w:ind w:firstLineChars="200" w:firstLine="480"/>
        <w:rPr>
          <w:rFonts w:ascii="宋体" w:cs="Arial"/>
          <w:sz w:val="24"/>
        </w:rPr>
      </w:pPr>
      <w:r w:rsidRPr="004642E9">
        <w:rPr>
          <w:rFonts w:ascii="宋体" w:hAnsi="宋体" w:cs="Arial" w:hint="eastAsia"/>
          <w:sz w:val="24"/>
        </w:rPr>
        <w:t>学院现有专任教师</w:t>
      </w:r>
      <w:r w:rsidRPr="004642E9">
        <w:rPr>
          <w:rFonts w:ascii="宋体" w:hAnsi="宋体" w:cs="Arial"/>
          <w:sz w:val="24"/>
        </w:rPr>
        <w:t>1148</w:t>
      </w:r>
      <w:r w:rsidRPr="004642E9">
        <w:rPr>
          <w:rFonts w:ascii="宋体" w:hAnsi="宋体" w:cs="Arial" w:hint="eastAsia"/>
          <w:sz w:val="24"/>
        </w:rPr>
        <w:t>名（其中学院自聘专任教师</w:t>
      </w:r>
      <w:r w:rsidRPr="004642E9">
        <w:rPr>
          <w:rFonts w:ascii="宋体" w:hAnsi="宋体" w:cs="Arial"/>
          <w:sz w:val="24"/>
        </w:rPr>
        <w:t>203</w:t>
      </w:r>
      <w:r w:rsidRPr="004642E9">
        <w:rPr>
          <w:rFonts w:ascii="宋体" w:hAnsi="宋体" w:cs="Arial" w:hint="eastAsia"/>
          <w:sz w:val="24"/>
        </w:rPr>
        <w:t>名），专任教师中，</w:t>
      </w:r>
      <w:r w:rsidRPr="004642E9">
        <w:rPr>
          <w:rFonts w:ascii="宋体" w:hAnsi="宋体" w:cs="Arial"/>
          <w:sz w:val="24"/>
        </w:rPr>
        <w:t>35</w:t>
      </w:r>
      <w:r w:rsidRPr="004642E9">
        <w:rPr>
          <w:rFonts w:ascii="宋体" w:hAnsi="宋体" w:cs="Arial" w:hint="eastAsia"/>
          <w:sz w:val="24"/>
        </w:rPr>
        <w:t>岁以下教师</w:t>
      </w:r>
      <w:r w:rsidRPr="004642E9">
        <w:rPr>
          <w:rFonts w:ascii="宋体" w:hAnsi="宋体" w:cs="Arial"/>
          <w:sz w:val="24"/>
        </w:rPr>
        <w:t>393</w:t>
      </w:r>
      <w:r w:rsidRPr="004642E9">
        <w:rPr>
          <w:rFonts w:ascii="宋体" w:hAnsi="宋体" w:cs="Arial" w:hint="eastAsia"/>
          <w:sz w:val="24"/>
        </w:rPr>
        <w:t>名，</w:t>
      </w:r>
      <w:r w:rsidRPr="004642E9">
        <w:rPr>
          <w:rFonts w:ascii="宋体" w:hAnsi="宋体" w:cs="Arial"/>
          <w:sz w:val="24"/>
        </w:rPr>
        <w:t>36-45</w:t>
      </w:r>
      <w:r w:rsidRPr="004642E9">
        <w:rPr>
          <w:rFonts w:ascii="宋体" w:hAnsi="宋体" w:cs="Arial" w:hint="eastAsia"/>
          <w:sz w:val="24"/>
        </w:rPr>
        <w:t>岁教师</w:t>
      </w:r>
      <w:r w:rsidRPr="004642E9">
        <w:rPr>
          <w:rFonts w:ascii="宋体" w:hAnsi="宋体" w:cs="Arial"/>
          <w:sz w:val="24"/>
        </w:rPr>
        <w:t>463</w:t>
      </w:r>
      <w:r w:rsidRPr="004642E9">
        <w:rPr>
          <w:rFonts w:ascii="宋体" w:hAnsi="宋体" w:cs="Arial" w:hint="eastAsia"/>
          <w:sz w:val="24"/>
        </w:rPr>
        <w:t>名，</w:t>
      </w:r>
      <w:r w:rsidRPr="004642E9">
        <w:rPr>
          <w:rFonts w:ascii="宋体" w:hAnsi="宋体" w:cs="Arial"/>
          <w:sz w:val="24"/>
        </w:rPr>
        <w:t>46-60</w:t>
      </w:r>
      <w:r w:rsidRPr="004642E9">
        <w:rPr>
          <w:rFonts w:ascii="宋体" w:hAnsi="宋体" w:cs="Arial" w:hint="eastAsia"/>
          <w:sz w:val="24"/>
        </w:rPr>
        <w:t>岁教师</w:t>
      </w:r>
      <w:r w:rsidRPr="004642E9">
        <w:rPr>
          <w:rFonts w:ascii="宋体" w:hAnsi="宋体" w:cs="Arial"/>
          <w:sz w:val="24"/>
        </w:rPr>
        <w:t>251</w:t>
      </w:r>
      <w:r w:rsidRPr="004642E9">
        <w:rPr>
          <w:rFonts w:ascii="宋体" w:hAnsi="宋体" w:cs="Arial" w:hint="eastAsia"/>
          <w:sz w:val="24"/>
        </w:rPr>
        <w:t>名，</w:t>
      </w:r>
      <w:r w:rsidRPr="004642E9">
        <w:rPr>
          <w:rFonts w:ascii="宋体" w:hAnsi="宋体" w:cs="Arial"/>
          <w:sz w:val="24"/>
        </w:rPr>
        <w:t>60</w:t>
      </w:r>
      <w:r w:rsidRPr="004642E9">
        <w:rPr>
          <w:rFonts w:ascii="宋体" w:hAnsi="宋体" w:cs="Arial" w:hint="eastAsia"/>
          <w:sz w:val="24"/>
        </w:rPr>
        <w:t>岁以上教师</w:t>
      </w:r>
      <w:r w:rsidRPr="004642E9">
        <w:rPr>
          <w:rFonts w:ascii="宋体" w:hAnsi="宋体" w:cs="Arial"/>
          <w:sz w:val="24"/>
        </w:rPr>
        <w:t>41</w:t>
      </w:r>
      <w:r w:rsidRPr="004642E9">
        <w:rPr>
          <w:rFonts w:ascii="宋体" w:hAnsi="宋体" w:cs="Arial" w:hint="eastAsia"/>
          <w:sz w:val="24"/>
        </w:rPr>
        <w:t>名，中青年教师所占比例为</w:t>
      </w:r>
      <w:r w:rsidRPr="004642E9">
        <w:rPr>
          <w:rFonts w:ascii="宋体" w:hAnsi="宋体" w:cs="Arial"/>
          <w:sz w:val="24"/>
        </w:rPr>
        <w:t>74.57%</w:t>
      </w:r>
      <w:r w:rsidRPr="004642E9">
        <w:rPr>
          <w:rFonts w:ascii="宋体" w:hAnsi="宋体" w:cs="Arial" w:hint="eastAsia"/>
          <w:sz w:val="24"/>
        </w:rPr>
        <w:t>，师资队伍年龄结构如表</w:t>
      </w:r>
      <w:r w:rsidRPr="004642E9">
        <w:rPr>
          <w:rFonts w:ascii="宋体" w:hAnsi="宋体" w:cs="Arial"/>
          <w:sz w:val="24"/>
        </w:rPr>
        <w:t>2-1</w:t>
      </w:r>
      <w:r w:rsidRPr="004642E9">
        <w:rPr>
          <w:rFonts w:ascii="宋体" w:hAnsi="宋体" w:cs="Arial" w:hint="eastAsia"/>
          <w:sz w:val="24"/>
        </w:rPr>
        <w:t>、图</w:t>
      </w:r>
      <w:r w:rsidRPr="004642E9">
        <w:rPr>
          <w:rFonts w:ascii="宋体" w:hAnsi="宋体" w:cs="Arial"/>
          <w:sz w:val="24"/>
        </w:rPr>
        <w:t>2-1</w:t>
      </w:r>
      <w:r w:rsidRPr="004642E9">
        <w:rPr>
          <w:rFonts w:ascii="宋体" w:hAnsi="宋体" w:cs="Arial" w:hint="eastAsia"/>
          <w:sz w:val="24"/>
        </w:rPr>
        <w:t>所示；专任教师中，具有硕士以上学位的教师</w:t>
      </w:r>
      <w:r w:rsidRPr="004642E9">
        <w:rPr>
          <w:rFonts w:ascii="宋体" w:hAnsi="宋体" w:cs="Arial"/>
          <w:sz w:val="24"/>
        </w:rPr>
        <w:t>881</w:t>
      </w:r>
      <w:r w:rsidRPr="004642E9">
        <w:rPr>
          <w:rFonts w:ascii="宋体" w:hAnsi="宋体" w:cs="Arial" w:hint="eastAsia"/>
          <w:sz w:val="24"/>
        </w:rPr>
        <w:t>名，占专任教师总数的</w:t>
      </w:r>
      <w:r w:rsidRPr="004642E9">
        <w:rPr>
          <w:rFonts w:ascii="宋体" w:hAnsi="宋体" w:cs="Arial"/>
          <w:sz w:val="24"/>
        </w:rPr>
        <w:t>76.75%</w:t>
      </w:r>
      <w:r w:rsidRPr="004642E9">
        <w:rPr>
          <w:rFonts w:ascii="宋体" w:hAnsi="宋体" w:cs="Arial" w:hint="eastAsia"/>
          <w:sz w:val="24"/>
        </w:rPr>
        <w:t>，师资队伍学位结构如表</w:t>
      </w:r>
      <w:r w:rsidRPr="004642E9">
        <w:rPr>
          <w:rFonts w:ascii="宋体" w:hAnsi="宋体" w:cs="Arial"/>
          <w:sz w:val="24"/>
        </w:rPr>
        <w:t>2-2</w:t>
      </w:r>
      <w:r w:rsidRPr="004642E9">
        <w:rPr>
          <w:rFonts w:ascii="宋体" w:hAnsi="宋体" w:cs="Arial" w:hint="eastAsia"/>
          <w:sz w:val="24"/>
        </w:rPr>
        <w:t>、图</w:t>
      </w:r>
      <w:r w:rsidRPr="004642E9">
        <w:rPr>
          <w:rFonts w:ascii="宋体" w:hAnsi="宋体" w:cs="Arial"/>
          <w:sz w:val="24"/>
        </w:rPr>
        <w:t>2-2</w:t>
      </w:r>
      <w:r w:rsidRPr="004642E9">
        <w:rPr>
          <w:rFonts w:ascii="宋体" w:hAnsi="宋体" w:cs="Arial" w:hint="eastAsia"/>
          <w:sz w:val="24"/>
        </w:rPr>
        <w:t>所示；教授</w:t>
      </w:r>
      <w:r w:rsidRPr="004642E9">
        <w:rPr>
          <w:rFonts w:ascii="宋体" w:hAnsi="宋体" w:cs="Arial"/>
          <w:sz w:val="24"/>
        </w:rPr>
        <w:t>133</w:t>
      </w:r>
      <w:r w:rsidRPr="004642E9">
        <w:rPr>
          <w:rFonts w:ascii="宋体" w:hAnsi="宋体" w:cs="Arial" w:hint="eastAsia"/>
          <w:sz w:val="24"/>
        </w:rPr>
        <w:t>名，副教授</w:t>
      </w:r>
      <w:r w:rsidRPr="004642E9">
        <w:rPr>
          <w:rFonts w:ascii="宋体" w:hAnsi="宋体" w:cs="Arial"/>
          <w:sz w:val="24"/>
        </w:rPr>
        <w:t>348</w:t>
      </w:r>
      <w:r w:rsidRPr="004642E9">
        <w:rPr>
          <w:rFonts w:ascii="宋体" w:hAnsi="宋体" w:cs="Arial" w:hint="eastAsia"/>
          <w:sz w:val="24"/>
        </w:rPr>
        <w:t>名，讲师</w:t>
      </w:r>
      <w:r w:rsidRPr="004642E9">
        <w:rPr>
          <w:rFonts w:ascii="宋体" w:hAnsi="宋体" w:cs="Arial"/>
          <w:sz w:val="24"/>
        </w:rPr>
        <w:t>541</w:t>
      </w:r>
      <w:r w:rsidRPr="004642E9">
        <w:rPr>
          <w:rFonts w:ascii="宋体" w:hAnsi="宋体" w:cs="Arial" w:hint="eastAsia"/>
          <w:sz w:val="24"/>
        </w:rPr>
        <w:t>名，约</w:t>
      </w:r>
      <w:r w:rsidRPr="004642E9">
        <w:rPr>
          <w:rFonts w:ascii="宋体" w:hAnsi="宋体" w:cs="Arial"/>
          <w:sz w:val="24"/>
        </w:rPr>
        <w:t>41.9%</w:t>
      </w:r>
      <w:r w:rsidRPr="004642E9">
        <w:rPr>
          <w:rFonts w:ascii="宋体" w:hAnsi="宋体" w:cs="Arial" w:hint="eastAsia"/>
          <w:sz w:val="24"/>
        </w:rPr>
        <w:t>的教师具有高级技术职称，师资队伍职称结构如表</w:t>
      </w:r>
      <w:r w:rsidRPr="004642E9">
        <w:rPr>
          <w:rFonts w:ascii="宋体" w:hAnsi="宋体" w:cs="Arial"/>
          <w:sz w:val="24"/>
        </w:rPr>
        <w:t>2-3</w:t>
      </w:r>
      <w:r w:rsidRPr="004642E9">
        <w:rPr>
          <w:rFonts w:ascii="宋体" w:hAnsi="宋体" w:cs="Arial" w:hint="eastAsia"/>
          <w:sz w:val="24"/>
        </w:rPr>
        <w:t>、图</w:t>
      </w:r>
      <w:r w:rsidRPr="004642E9">
        <w:rPr>
          <w:rFonts w:ascii="宋体" w:hAnsi="宋体" w:cs="Arial"/>
          <w:sz w:val="24"/>
        </w:rPr>
        <w:t>2-3</w:t>
      </w:r>
      <w:r w:rsidRPr="004642E9">
        <w:rPr>
          <w:rFonts w:ascii="宋体" w:hAnsi="宋体" w:cs="Arial" w:hint="eastAsia"/>
          <w:sz w:val="24"/>
        </w:rPr>
        <w:t>所示。学院聘请校外专家</w:t>
      </w:r>
      <w:r w:rsidRPr="004642E9">
        <w:rPr>
          <w:rFonts w:ascii="宋体" w:hAnsi="宋体" w:cs="Arial"/>
          <w:sz w:val="24"/>
        </w:rPr>
        <w:t>29</w:t>
      </w:r>
      <w:r w:rsidRPr="004642E9">
        <w:rPr>
          <w:rFonts w:ascii="宋体" w:hAnsi="宋体" w:cs="Arial" w:hint="eastAsia"/>
          <w:sz w:val="24"/>
        </w:rPr>
        <w:t>名，作为学院兼职专任教师。按折合在校生数计算，学院生师比为</w:t>
      </w:r>
      <w:r w:rsidRPr="004642E9">
        <w:rPr>
          <w:rFonts w:ascii="宋体" w:hAnsi="宋体" w:cs="Arial"/>
          <w:sz w:val="24"/>
        </w:rPr>
        <w:t>17:1</w:t>
      </w:r>
      <w:r w:rsidRPr="004642E9">
        <w:rPr>
          <w:rFonts w:ascii="宋体" w:hAnsi="宋体" w:cs="Arial" w:hint="eastAsia"/>
          <w:sz w:val="24"/>
        </w:rPr>
        <w:t>。已建成以自聘专任教师和母体学校选派专任教师为主、外聘教师为辅的，独具特色的师资队伍。</w:t>
      </w:r>
    </w:p>
    <w:p w:rsidR="00683C33" w:rsidRPr="00346CDF" w:rsidRDefault="00683C33" w:rsidP="00180B1D">
      <w:pPr>
        <w:spacing w:beforeLines="50"/>
        <w:ind w:firstLineChars="200" w:firstLine="420"/>
        <w:jc w:val="center"/>
        <w:rPr>
          <w:rFonts w:ascii="宋体" w:cs="Arial"/>
          <w:bCs/>
          <w:szCs w:val="21"/>
        </w:rPr>
      </w:pPr>
      <w:r w:rsidRPr="00346CDF">
        <w:rPr>
          <w:rFonts w:ascii="宋体" w:hAnsi="宋体" w:cs="Arial" w:hint="eastAsia"/>
          <w:bCs/>
          <w:szCs w:val="21"/>
        </w:rPr>
        <w:t>表</w:t>
      </w:r>
      <w:r w:rsidRPr="00346CDF">
        <w:rPr>
          <w:rFonts w:ascii="宋体" w:hAnsi="宋体" w:cs="Arial"/>
          <w:bCs/>
          <w:szCs w:val="21"/>
        </w:rPr>
        <w:t xml:space="preserve">2-1  </w:t>
      </w:r>
      <w:r w:rsidRPr="00346CDF">
        <w:rPr>
          <w:rFonts w:ascii="宋体" w:hAnsi="宋体" w:cs="Arial" w:hint="eastAsia"/>
          <w:bCs/>
          <w:szCs w:val="21"/>
        </w:rPr>
        <w:t>师资队伍年龄结构情况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7"/>
        <w:gridCol w:w="1142"/>
        <w:gridCol w:w="1142"/>
        <w:gridCol w:w="1148"/>
        <w:gridCol w:w="1318"/>
        <w:gridCol w:w="1046"/>
      </w:tblGrid>
      <w:tr w:rsidR="00683C33" w:rsidRPr="00346CDF" w:rsidTr="00E00D6E">
        <w:trPr>
          <w:jc w:val="center"/>
        </w:trPr>
        <w:tc>
          <w:tcPr>
            <w:tcW w:w="1427" w:type="dxa"/>
          </w:tcPr>
          <w:p w:rsidR="00683C33" w:rsidRPr="00346CDF" w:rsidRDefault="00683C33" w:rsidP="00E00D6E">
            <w:pPr>
              <w:jc w:val="center"/>
              <w:rPr>
                <w:rFonts w:ascii="宋体" w:cs="Arial"/>
                <w:bCs/>
              </w:rPr>
            </w:pPr>
            <w:bookmarkStart w:id="23" w:name="_Hlk401682016"/>
            <w:r w:rsidRPr="00346CDF">
              <w:rPr>
                <w:rFonts w:ascii="宋体" w:hAnsi="宋体" w:cs="Arial" w:hint="eastAsia"/>
                <w:bCs/>
              </w:rPr>
              <w:t>年龄</w:t>
            </w:r>
          </w:p>
        </w:tc>
        <w:tc>
          <w:tcPr>
            <w:tcW w:w="1142" w:type="dxa"/>
          </w:tcPr>
          <w:p w:rsidR="00683C33" w:rsidRPr="00346CDF" w:rsidRDefault="00683C33" w:rsidP="00E00D6E">
            <w:pPr>
              <w:jc w:val="center"/>
              <w:rPr>
                <w:rFonts w:ascii="宋体" w:cs="Arial"/>
                <w:bCs/>
              </w:rPr>
            </w:pPr>
            <w:r w:rsidRPr="00346CDF">
              <w:rPr>
                <w:rFonts w:ascii="宋体" w:hAnsi="宋体" w:cs="Arial"/>
                <w:bCs/>
              </w:rPr>
              <w:t>60</w:t>
            </w:r>
            <w:r w:rsidRPr="00346CDF">
              <w:rPr>
                <w:rFonts w:ascii="宋体" w:hAnsi="宋体" w:cs="Arial" w:hint="eastAsia"/>
                <w:bCs/>
              </w:rPr>
              <w:t>岁以上</w:t>
            </w:r>
          </w:p>
        </w:tc>
        <w:tc>
          <w:tcPr>
            <w:tcW w:w="1142" w:type="dxa"/>
          </w:tcPr>
          <w:p w:rsidR="00683C33" w:rsidRPr="00346CDF" w:rsidRDefault="00683C33" w:rsidP="00E00D6E">
            <w:pPr>
              <w:jc w:val="center"/>
              <w:rPr>
                <w:rFonts w:ascii="宋体" w:cs="Arial"/>
                <w:bCs/>
              </w:rPr>
            </w:pPr>
            <w:r w:rsidRPr="00346CDF">
              <w:rPr>
                <w:rFonts w:ascii="宋体" w:hAnsi="宋体" w:cs="Arial"/>
                <w:bCs/>
              </w:rPr>
              <w:t>46-60</w:t>
            </w:r>
            <w:r w:rsidRPr="00346CDF">
              <w:rPr>
                <w:rFonts w:ascii="宋体" w:hAnsi="宋体" w:cs="Arial" w:hint="eastAsia"/>
                <w:bCs/>
              </w:rPr>
              <w:t>岁</w:t>
            </w:r>
          </w:p>
        </w:tc>
        <w:tc>
          <w:tcPr>
            <w:tcW w:w="1148" w:type="dxa"/>
          </w:tcPr>
          <w:p w:rsidR="00683C33" w:rsidRPr="00346CDF" w:rsidRDefault="00683C33" w:rsidP="00E00D6E">
            <w:pPr>
              <w:jc w:val="center"/>
              <w:rPr>
                <w:rFonts w:ascii="宋体" w:cs="Arial"/>
                <w:bCs/>
              </w:rPr>
            </w:pPr>
            <w:r w:rsidRPr="00346CDF">
              <w:rPr>
                <w:rFonts w:ascii="宋体" w:hAnsi="宋体" w:cs="Arial"/>
                <w:bCs/>
              </w:rPr>
              <w:t>36-45</w:t>
            </w:r>
            <w:r w:rsidRPr="00346CDF">
              <w:rPr>
                <w:rFonts w:ascii="宋体" w:hAnsi="宋体" w:cs="Arial" w:hint="eastAsia"/>
                <w:bCs/>
              </w:rPr>
              <w:t>岁</w:t>
            </w:r>
          </w:p>
        </w:tc>
        <w:tc>
          <w:tcPr>
            <w:tcW w:w="1318" w:type="dxa"/>
          </w:tcPr>
          <w:p w:rsidR="00683C33" w:rsidRPr="00346CDF" w:rsidRDefault="00683C33" w:rsidP="00E00D6E">
            <w:pPr>
              <w:jc w:val="center"/>
              <w:rPr>
                <w:rFonts w:ascii="宋体" w:cs="Arial"/>
                <w:bCs/>
              </w:rPr>
            </w:pPr>
            <w:r w:rsidRPr="00346CDF">
              <w:rPr>
                <w:rFonts w:ascii="宋体" w:hAnsi="宋体" w:cs="Arial"/>
                <w:bCs/>
              </w:rPr>
              <w:t>35</w:t>
            </w:r>
            <w:r w:rsidRPr="00346CDF">
              <w:rPr>
                <w:rFonts w:ascii="宋体" w:hAnsi="宋体" w:cs="Arial" w:hint="eastAsia"/>
                <w:bCs/>
              </w:rPr>
              <w:t>岁以下</w:t>
            </w:r>
          </w:p>
        </w:tc>
        <w:tc>
          <w:tcPr>
            <w:tcW w:w="1046" w:type="dxa"/>
          </w:tcPr>
          <w:p w:rsidR="00683C33" w:rsidRPr="00346CDF" w:rsidRDefault="00683C33" w:rsidP="00E00D6E">
            <w:pPr>
              <w:jc w:val="center"/>
              <w:rPr>
                <w:rFonts w:ascii="宋体" w:cs="Arial"/>
                <w:bCs/>
              </w:rPr>
            </w:pPr>
            <w:r w:rsidRPr="00346CDF">
              <w:rPr>
                <w:rFonts w:ascii="宋体" w:hAnsi="宋体" w:cs="Arial" w:hint="eastAsia"/>
                <w:bCs/>
              </w:rPr>
              <w:t>合计</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人数（名）</w:t>
            </w:r>
          </w:p>
        </w:tc>
        <w:tc>
          <w:tcPr>
            <w:tcW w:w="1142" w:type="dxa"/>
          </w:tcPr>
          <w:p w:rsidR="00683C33" w:rsidRPr="00346CDF" w:rsidRDefault="00683C33" w:rsidP="00E00D6E">
            <w:pPr>
              <w:jc w:val="center"/>
              <w:rPr>
                <w:rFonts w:ascii="宋体" w:cs="Arial"/>
                <w:bCs/>
              </w:rPr>
            </w:pPr>
            <w:r w:rsidRPr="00346CDF">
              <w:rPr>
                <w:rFonts w:ascii="宋体" w:hAnsi="宋体" w:cs="Arial"/>
                <w:bCs/>
              </w:rPr>
              <w:t>41</w:t>
            </w:r>
          </w:p>
        </w:tc>
        <w:tc>
          <w:tcPr>
            <w:tcW w:w="1142" w:type="dxa"/>
          </w:tcPr>
          <w:p w:rsidR="00683C33" w:rsidRPr="00346CDF" w:rsidRDefault="00683C33" w:rsidP="00E00D6E">
            <w:pPr>
              <w:jc w:val="center"/>
              <w:rPr>
                <w:rFonts w:ascii="宋体" w:cs="Arial"/>
                <w:bCs/>
              </w:rPr>
            </w:pPr>
            <w:r w:rsidRPr="00346CDF">
              <w:rPr>
                <w:rFonts w:ascii="宋体" w:hAnsi="宋体" w:cs="Arial"/>
                <w:bCs/>
              </w:rPr>
              <w:t>251</w:t>
            </w:r>
          </w:p>
        </w:tc>
        <w:tc>
          <w:tcPr>
            <w:tcW w:w="1148" w:type="dxa"/>
          </w:tcPr>
          <w:p w:rsidR="00683C33" w:rsidRPr="00346CDF" w:rsidRDefault="00683C33" w:rsidP="00E00D6E">
            <w:pPr>
              <w:jc w:val="center"/>
              <w:rPr>
                <w:rFonts w:ascii="宋体" w:cs="Arial"/>
                <w:bCs/>
              </w:rPr>
            </w:pPr>
            <w:r w:rsidRPr="00346CDF">
              <w:rPr>
                <w:rFonts w:ascii="宋体" w:hAnsi="宋体" w:cs="Arial"/>
                <w:bCs/>
              </w:rPr>
              <w:t>463</w:t>
            </w:r>
          </w:p>
        </w:tc>
        <w:tc>
          <w:tcPr>
            <w:tcW w:w="1318" w:type="dxa"/>
          </w:tcPr>
          <w:p w:rsidR="00683C33" w:rsidRPr="00346CDF" w:rsidRDefault="00683C33" w:rsidP="00E00D6E">
            <w:pPr>
              <w:jc w:val="center"/>
              <w:rPr>
                <w:rFonts w:ascii="宋体" w:cs="Arial"/>
                <w:bCs/>
              </w:rPr>
            </w:pPr>
            <w:r w:rsidRPr="00346CDF">
              <w:rPr>
                <w:rFonts w:ascii="宋体" w:hAnsi="宋体" w:cs="Arial"/>
                <w:bCs/>
              </w:rPr>
              <w:t>393</w:t>
            </w:r>
          </w:p>
        </w:tc>
        <w:tc>
          <w:tcPr>
            <w:tcW w:w="1046" w:type="dxa"/>
          </w:tcPr>
          <w:p w:rsidR="00683C33" w:rsidRPr="00346CDF" w:rsidRDefault="00683C33" w:rsidP="00E00D6E">
            <w:pPr>
              <w:jc w:val="center"/>
              <w:rPr>
                <w:rFonts w:ascii="宋体" w:cs="Arial"/>
                <w:bCs/>
              </w:rPr>
            </w:pPr>
            <w:r w:rsidRPr="00346CDF">
              <w:rPr>
                <w:rFonts w:ascii="宋体" w:hAnsi="宋体" w:cs="Arial"/>
                <w:bCs/>
              </w:rPr>
              <w:t>1148</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比例（</w:t>
            </w:r>
            <w:r w:rsidRPr="00346CDF">
              <w:rPr>
                <w:rFonts w:ascii="宋体" w:hAnsi="宋体" w:cs="Arial"/>
                <w:bCs/>
              </w:rPr>
              <w:t>%</w:t>
            </w:r>
            <w:r w:rsidRPr="00346CDF">
              <w:rPr>
                <w:rFonts w:ascii="宋体" w:hAnsi="宋体" w:cs="Arial" w:hint="eastAsia"/>
                <w:bCs/>
              </w:rPr>
              <w:t>）</w:t>
            </w:r>
          </w:p>
        </w:tc>
        <w:tc>
          <w:tcPr>
            <w:tcW w:w="1142" w:type="dxa"/>
          </w:tcPr>
          <w:p w:rsidR="00683C33" w:rsidRPr="00346CDF" w:rsidRDefault="00683C33" w:rsidP="00E00D6E">
            <w:pPr>
              <w:jc w:val="center"/>
              <w:rPr>
                <w:rFonts w:ascii="宋体" w:cs="Arial"/>
                <w:bCs/>
              </w:rPr>
            </w:pPr>
            <w:r w:rsidRPr="00346CDF">
              <w:rPr>
                <w:rFonts w:ascii="宋体" w:hAnsi="宋体" w:cs="Arial"/>
                <w:bCs/>
              </w:rPr>
              <w:t>3.57%</w:t>
            </w:r>
          </w:p>
        </w:tc>
        <w:tc>
          <w:tcPr>
            <w:tcW w:w="1142" w:type="dxa"/>
          </w:tcPr>
          <w:p w:rsidR="00683C33" w:rsidRPr="00346CDF" w:rsidRDefault="00683C33" w:rsidP="00E00D6E">
            <w:pPr>
              <w:jc w:val="center"/>
              <w:rPr>
                <w:rFonts w:ascii="宋体" w:cs="Arial"/>
                <w:bCs/>
              </w:rPr>
            </w:pPr>
            <w:r w:rsidRPr="00346CDF">
              <w:rPr>
                <w:rFonts w:ascii="宋体" w:hAnsi="宋体" w:cs="Arial"/>
                <w:bCs/>
              </w:rPr>
              <w:t>21.86%</w:t>
            </w:r>
          </w:p>
        </w:tc>
        <w:tc>
          <w:tcPr>
            <w:tcW w:w="1148" w:type="dxa"/>
          </w:tcPr>
          <w:p w:rsidR="00683C33" w:rsidRPr="00346CDF" w:rsidRDefault="00683C33" w:rsidP="00E00D6E">
            <w:pPr>
              <w:jc w:val="center"/>
              <w:rPr>
                <w:rFonts w:ascii="宋体" w:cs="Arial"/>
                <w:bCs/>
              </w:rPr>
            </w:pPr>
            <w:r w:rsidRPr="00346CDF">
              <w:rPr>
                <w:rFonts w:ascii="宋体" w:hAnsi="宋体" w:cs="Arial"/>
                <w:bCs/>
              </w:rPr>
              <w:t>40.33%</w:t>
            </w:r>
          </w:p>
        </w:tc>
        <w:tc>
          <w:tcPr>
            <w:tcW w:w="1318" w:type="dxa"/>
          </w:tcPr>
          <w:p w:rsidR="00683C33" w:rsidRPr="00346CDF" w:rsidRDefault="00683C33" w:rsidP="00E00D6E">
            <w:pPr>
              <w:jc w:val="center"/>
              <w:rPr>
                <w:rFonts w:ascii="宋体" w:cs="Arial"/>
                <w:bCs/>
              </w:rPr>
            </w:pPr>
            <w:r w:rsidRPr="00346CDF">
              <w:rPr>
                <w:rFonts w:ascii="宋体" w:hAnsi="宋体" w:cs="Arial"/>
                <w:bCs/>
              </w:rPr>
              <w:t>34.24%</w:t>
            </w:r>
          </w:p>
        </w:tc>
        <w:tc>
          <w:tcPr>
            <w:tcW w:w="1046" w:type="dxa"/>
          </w:tcPr>
          <w:p w:rsidR="00683C33" w:rsidRPr="00346CDF" w:rsidRDefault="00683C33" w:rsidP="00E00D6E">
            <w:pPr>
              <w:jc w:val="center"/>
              <w:rPr>
                <w:rFonts w:ascii="宋体" w:cs="Arial"/>
                <w:bCs/>
              </w:rPr>
            </w:pPr>
            <w:r w:rsidRPr="00346CDF">
              <w:rPr>
                <w:rFonts w:ascii="宋体" w:hAnsi="宋体" w:cs="Arial"/>
                <w:bCs/>
              </w:rPr>
              <w:t>100%</w:t>
            </w:r>
          </w:p>
        </w:tc>
      </w:tr>
    </w:tbl>
    <w:bookmarkEnd w:id="23"/>
    <w:p w:rsidR="00683C33" w:rsidRDefault="00683C33" w:rsidP="00180B1D">
      <w:pPr>
        <w:spacing w:beforeLines="50"/>
        <w:ind w:firstLineChars="200" w:firstLine="420"/>
        <w:jc w:val="center"/>
        <w:rPr>
          <w:rFonts w:ascii="Arial" w:hAnsi="Arial" w:cs="Arial"/>
          <w:bCs/>
          <w:szCs w:val="21"/>
        </w:rPr>
      </w:pPr>
      <w:r>
        <w:rPr>
          <w:rFonts w:ascii="Arial" w:hAnsi="Arial" w:cs="Arial"/>
          <w:noProof/>
          <w:szCs w:val="21"/>
        </w:rPr>
        <w:lastRenderedPageBreak/>
        <w:drawing>
          <wp:inline distT="0" distB="0" distL="0" distR="0">
            <wp:extent cx="4676775" cy="3076575"/>
            <wp:effectExtent l="0" t="0" r="0" b="0"/>
            <wp:docPr id="5"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83C33" w:rsidRPr="00C126E0" w:rsidRDefault="00683C33" w:rsidP="00180B1D">
      <w:pPr>
        <w:spacing w:beforeLines="50"/>
        <w:ind w:firstLineChars="200" w:firstLine="420"/>
        <w:jc w:val="center"/>
        <w:rPr>
          <w:rFonts w:ascii="Arial" w:hAnsi="Arial" w:cs="Arial"/>
          <w:bCs/>
          <w:color w:val="FF0000"/>
          <w:szCs w:val="21"/>
        </w:rPr>
      </w:pPr>
    </w:p>
    <w:p w:rsidR="00683C33" w:rsidRDefault="00683C33" w:rsidP="00180B1D">
      <w:pPr>
        <w:spacing w:beforeLines="50"/>
        <w:ind w:firstLineChars="200" w:firstLine="420"/>
        <w:jc w:val="center"/>
        <w:rPr>
          <w:rFonts w:ascii="Arial" w:hAnsi="Arial" w:cs="Arial"/>
          <w:bCs/>
          <w:szCs w:val="21"/>
        </w:rPr>
      </w:pPr>
      <w:r>
        <w:rPr>
          <w:rFonts w:ascii="Arial" w:hAnsi="Arial" w:cs="Arial" w:hint="eastAsia"/>
          <w:bCs/>
          <w:szCs w:val="21"/>
        </w:rPr>
        <w:t>图</w:t>
      </w:r>
      <w:r>
        <w:rPr>
          <w:rFonts w:ascii="Arial" w:hAnsi="Arial" w:cs="Arial"/>
          <w:bCs/>
          <w:szCs w:val="21"/>
        </w:rPr>
        <w:t xml:space="preserve">2-1  </w:t>
      </w:r>
      <w:r>
        <w:rPr>
          <w:rFonts w:ascii="Arial" w:hAnsi="Arial" w:cs="Arial" w:hint="eastAsia"/>
          <w:bCs/>
          <w:szCs w:val="21"/>
        </w:rPr>
        <w:t>师资队伍年龄结构情况</w:t>
      </w:r>
    </w:p>
    <w:p w:rsidR="00683C33" w:rsidRPr="00346CDF" w:rsidRDefault="00683C33" w:rsidP="00180B1D">
      <w:pPr>
        <w:spacing w:beforeLines="50"/>
        <w:ind w:firstLineChars="200" w:firstLine="420"/>
        <w:jc w:val="center"/>
        <w:rPr>
          <w:rFonts w:ascii="宋体" w:cs="Arial"/>
          <w:bCs/>
          <w:szCs w:val="21"/>
        </w:rPr>
      </w:pPr>
      <w:r w:rsidRPr="00346CDF">
        <w:rPr>
          <w:rFonts w:ascii="宋体" w:hAnsi="宋体" w:cs="Arial" w:hint="eastAsia"/>
          <w:bCs/>
          <w:szCs w:val="21"/>
        </w:rPr>
        <w:t>表</w:t>
      </w:r>
      <w:r w:rsidRPr="00346CDF">
        <w:rPr>
          <w:rFonts w:ascii="宋体" w:hAnsi="宋体" w:cs="Arial"/>
          <w:bCs/>
          <w:szCs w:val="21"/>
        </w:rPr>
        <w:t xml:space="preserve">2-2  </w:t>
      </w:r>
      <w:r w:rsidRPr="00346CDF">
        <w:rPr>
          <w:rFonts w:ascii="宋体" w:hAnsi="宋体" w:cs="Arial" w:hint="eastAsia"/>
          <w:bCs/>
          <w:szCs w:val="21"/>
        </w:rPr>
        <w:t>师资队伍学位结构情况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7"/>
        <w:gridCol w:w="1142"/>
        <w:gridCol w:w="1142"/>
        <w:gridCol w:w="1148"/>
        <w:gridCol w:w="1318"/>
        <w:gridCol w:w="1046"/>
      </w:tblGrid>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学位</w:t>
            </w:r>
          </w:p>
        </w:tc>
        <w:tc>
          <w:tcPr>
            <w:tcW w:w="1142" w:type="dxa"/>
          </w:tcPr>
          <w:p w:rsidR="00683C33" w:rsidRPr="00346CDF" w:rsidRDefault="00683C33" w:rsidP="00E00D6E">
            <w:pPr>
              <w:jc w:val="center"/>
              <w:rPr>
                <w:rFonts w:ascii="宋体" w:cs="Arial"/>
                <w:bCs/>
              </w:rPr>
            </w:pPr>
            <w:r w:rsidRPr="00346CDF">
              <w:rPr>
                <w:rFonts w:ascii="宋体" w:hAnsi="宋体" w:cs="Arial" w:hint="eastAsia"/>
                <w:bCs/>
              </w:rPr>
              <w:t>专科</w:t>
            </w:r>
          </w:p>
        </w:tc>
        <w:tc>
          <w:tcPr>
            <w:tcW w:w="1142" w:type="dxa"/>
          </w:tcPr>
          <w:p w:rsidR="00683C33" w:rsidRPr="00346CDF" w:rsidRDefault="00683C33" w:rsidP="00E00D6E">
            <w:pPr>
              <w:jc w:val="center"/>
              <w:rPr>
                <w:rFonts w:ascii="宋体" w:cs="Arial"/>
                <w:bCs/>
              </w:rPr>
            </w:pPr>
            <w:r w:rsidRPr="00346CDF">
              <w:rPr>
                <w:rFonts w:ascii="宋体" w:hAnsi="宋体" w:cs="Arial" w:hint="eastAsia"/>
                <w:bCs/>
              </w:rPr>
              <w:t>本科</w:t>
            </w:r>
          </w:p>
        </w:tc>
        <w:tc>
          <w:tcPr>
            <w:tcW w:w="1148" w:type="dxa"/>
          </w:tcPr>
          <w:p w:rsidR="00683C33" w:rsidRPr="00346CDF" w:rsidRDefault="00683C33" w:rsidP="00E00D6E">
            <w:pPr>
              <w:jc w:val="center"/>
              <w:rPr>
                <w:rFonts w:ascii="宋体" w:cs="Arial"/>
                <w:bCs/>
              </w:rPr>
            </w:pPr>
            <w:r w:rsidRPr="00346CDF">
              <w:rPr>
                <w:rFonts w:ascii="宋体" w:hAnsi="宋体" w:cs="Arial" w:hint="eastAsia"/>
                <w:bCs/>
              </w:rPr>
              <w:t>硕士</w:t>
            </w:r>
          </w:p>
        </w:tc>
        <w:tc>
          <w:tcPr>
            <w:tcW w:w="1318" w:type="dxa"/>
          </w:tcPr>
          <w:p w:rsidR="00683C33" w:rsidRPr="00346CDF" w:rsidRDefault="00683C33" w:rsidP="00E00D6E">
            <w:pPr>
              <w:jc w:val="center"/>
              <w:rPr>
                <w:rFonts w:ascii="宋体" w:cs="Arial"/>
                <w:bCs/>
              </w:rPr>
            </w:pPr>
            <w:r w:rsidRPr="00346CDF">
              <w:rPr>
                <w:rFonts w:ascii="宋体" w:hAnsi="宋体" w:cs="Arial" w:hint="eastAsia"/>
                <w:bCs/>
              </w:rPr>
              <w:t>博士</w:t>
            </w:r>
          </w:p>
        </w:tc>
        <w:tc>
          <w:tcPr>
            <w:tcW w:w="1046" w:type="dxa"/>
          </w:tcPr>
          <w:p w:rsidR="00683C33" w:rsidRPr="00346CDF" w:rsidRDefault="00683C33" w:rsidP="00E00D6E">
            <w:pPr>
              <w:jc w:val="center"/>
              <w:rPr>
                <w:rFonts w:ascii="宋体" w:cs="Arial"/>
                <w:bCs/>
              </w:rPr>
            </w:pPr>
            <w:r w:rsidRPr="00346CDF">
              <w:rPr>
                <w:rFonts w:ascii="宋体" w:hAnsi="宋体" w:cs="Arial" w:hint="eastAsia"/>
                <w:bCs/>
              </w:rPr>
              <w:t>合计</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人数（名）</w:t>
            </w:r>
          </w:p>
        </w:tc>
        <w:tc>
          <w:tcPr>
            <w:tcW w:w="1142" w:type="dxa"/>
          </w:tcPr>
          <w:p w:rsidR="00683C33" w:rsidRPr="00346CDF" w:rsidRDefault="00683C33" w:rsidP="00E00D6E">
            <w:pPr>
              <w:jc w:val="center"/>
              <w:rPr>
                <w:rFonts w:ascii="宋体" w:cs="Arial"/>
                <w:bCs/>
              </w:rPr>
            </w:pPr>
            <w:r w:rsidRPr="00346CDF">
              <w:rPr>
                <w:rFonts w:ascii="宋体" w:hAnsi="宋体" w:cs="Arial"/>
                <w:bCs/>
              </w:rPr>
              <w:t>11</w:t>
            </w:r>
          </w:p>
        </w:tc>
        <w:tc>
          <w:tcPr>
            <w:tcW w:w="1142" w:type="dxa"/>
          </w:tcPr>
          <w:p w:rsidR="00683C33" w:rsidRPr="00346CDF" w:rsidRDefault="00683C33" w:rsidP="00E00D6E">
            <w:pPr>
              <w:jc w:val="center"/>
              <w:rPr>
                <w:rFonts w:ascii="宋体" w:cs="Arial"/>
                <w:bCs/>
              </w:rPr>
            </w:pPr>
            <w:r w:rsidRPr="00346CDF">
              <w:rPr>
                <w:rFonts w:ascii="宋体" w:hAnsi="宋体" w:cs="Arial"/>
                <w:bCs/>
              </w:rPr>
              <w:t>256</w:t>
            </w:r>
          </w:p>
        </w:tc>
        <w:tc>
          <w:tcPr>
            <w:tcW w:w="1148" w:type="dxa"/>
          </w:tcPr>
          <w:p w:rsidR="00683C33" w:rsidRPr="00346CDF" w:rsidRDefault="00683C33" w:rsidP="00E00D6E">
            <w:pPr>
              <w:jc w:val="center"/>
              <w:rPr>
                <w:rFonts w:ascii="宋体" w:cs="Arial"/>
                <w:bCs/>
              </w:rPr>
            </w:pPr>
            <w:r w:rsidRPr="00346CDF">
              <w:rPr>
                <w:rFonts w:ascii="宋体" w:hAnsi="宋体" w:cs="Arial"/>
                <w:bCs/>
              </w:rPr>
              <w:t>531</w:t>
            </w:r>
          </w:p>
        </w:tc>
        <w:tc>
          <w:tcPr>
            <w:tcW w:w="1318" w:type="dxa"/>
          </w:tcPr>
          <w:p w:rsidR="00683C33" w:rsidRPr="00346CDF" w:rsidRDefault="00683C33" w:rsidP="00E00D6E">
            <w:pPr>
              <w:jc w:val="center"/>
              <w:rPr>
                <w:rFonts w:ascii="宋体" w:cs="Arial"/>
                <w:bCs/>
              </w:rPr>
            </w:pPr>
            <w:r w:rsidRPr="00346CDF">
              <w:rPr>
                <w:rFonts w:ascii="宋体" w:hAnsi="宋体" w:cs="Arial"/>
                <w:bCs/>
              </w:rPr>
              <w:t>350</w:t>
            </w:r>
          </w:p>
        </w:tc>
        <w:tc>
          <w:tcPr>
            <w:tcW w:w="1046" w:type="dxa"/>
          </w:tcPr>
          <w:p w:rsidR="00683C33" w:rsidRPr="00346CDF" w:rsidRDefault="00683C33" w:rsidP="00E00D6E">
            <w:pPr>
              <w:jc w:val="center"/>
              <w:rPr>
                <w:rFonts w:ascii="宋体" w:cs="Arial"/>
                <w:bCs/>
              </w:rPr>
            </w:pPr>
            <w:r w:rsidRPr="00346CDF">
              <w:rPr>
                <w:rFonts w:ascii="宋体" w:hAnsi="宋体" w:cs="Arial"/>
                <w:bCs/>
              </w:rPr>
              <w:t>1148</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比例（</w:t>
            </w:r>
            <w:r w:rsidRPr="00346CDF">
              <w:rPr>
                <w:rFonts w:ascii="宋体" w:hAnsi="宋体" w:cs="Arial"/>
                <w:bCs/>
              </w:rPr>
              <w:t>%</w:t>
            </w:r>
            <w:r w:rsidRPr="00346CDF">
              <w:rPr>
                <w:rFonts w:ascii="宋体" w:hAnsi="宋体" w:cs="Arial" w:hint="eastAsia"/>
                <w:bCs/>
              </w:rPr>
              <w:t>）</w:t>
            </w:r>
          </w:p>
        </w:tc>
        <w:tc>
          <w:tcPr>
            <w:tcW w:w="1142" w:type="dxa"/>
          </w:tcPr>
          <w:p w:rsidR="00683C33" w:rsidRPr="00346CDF" w:rsidRDefault="00683C33" w:rsidP="00E00D6E">
            <w:pPr>
              <w:jc w:val="center"/>
              <w:rPr>
                <w:rFonts w:ascii="宋体" w:cs="Arial"/>
                <w:bCs/>
              </w:rPr>
            </w:pPr>
            <w:r w:rsidRPr="00346CDF">
              <w:rPr>
                <w:rFonts w:ascii="宋体" w:hAnsi="宋体" w:cs="Arial"/>
                <w:bCs/>
              </w:rPr>
              <w:t>0.95%</w:t>
            </w:r>
          </w:p>
        </w:tc>
        <w:tc>
          <w:tcPr>
            <w:tcW w:w="1142" w:type="dxa"/>
          </w:tcPr>
          <w:p w:rsidR="00683C33" w:rsidRPr="00346CDF" w:rsidRDefault="00683C33" w:rsidP="00E00D6E">
            <w:pPr>
              <w:tabs>
                <w:tab w:val="center" w:pos="463"/>
              </w:tabs>
              <w:jc w:val="center"/>
              <w:rPr>
                <w:rFonts w:ascii="宋体" w:cs="Arial"/>
                <w:bCs/>
              </w:rPr>
            </w:pPr>
            <w:r w:rsidRPr="00346CDF">
              <w:rPr>
                <w:rFonts w:ascii="宋体" w:hAnsi="宋体" w:cs="Arial"/>
                <w:bCs/>
              </w:rPr>
              <w:t>22.30%</w:t>
            </w:r>
          </w:p>
        </w:tc>
        <w:tc>
          <w:tcPr>
            <w:tcW w:w="1148" w:type="dxa"/>
          </w:tcPr>
          <w:p w:rsidR="00683C33" w:rsidRPr="00346CDF" w:rsidRDefault="00683C33" w:rsidP="00E00D6E">
            <w:pPr>
              <w:jc w:val="center"/>
              <w:rPr>
                <w:rFonts w:ascii="宋体" w:cs="Arial"/>
                <w:bCs/>
              </w:rPr>
            </w:pPr>
            <w:r w:rsidRPr="00346CDF">
              <w:rPr>
                <w:rFonts w:ascii="宋体" w:hAnsi="宋体" w:cs="Arial"/>
                <w:bCs/>
              </w:rPr>
              <w:t>46.26%</w:t>
            </w:r>
          </w:p>
        </w:tc>
        <w:tc>
          <w:tcPr>
            <w:tcW w:w="1318" w:type="dxa"/>
          </w:tcPr>
          <w:p w:rsidR="00683C33" w:rsidRPr="00346CDF" w:rsidRDefault="00683C33" w:rsidP="00E00D6E">
            <w:pPr>
              <w:jc w:val="center"/>
              <w:rPr>
                <w:rFonts w:ascii="宋体" w:cs="Arial"/>
                <w:bCs/>
              </w:rPr>
            </w:pPr>
            <w:r w:rsidRPr="00346CDF">
              <w:rPr>
                <w:rFonts w:ascii="宋体" w:hAnsi="宋体" w:cs="Arial"/>
                <w:bCs/>
              </w:rPr>
              <w:t>30.49%</w:t>
            </w:r>
          </w:p>
        </w:tc>
        <w:tc>
          <w:tcPr>
            <w:tcW w:w="1046" w:type="dxa"/>
          </w:tcPr>
          <w:p w:rsidR="00683C33" w:rsidRPr="00346CDF" w:rsidRDefault="00683C33" w:rsidP="00E00D6E">
            <w:pPr>
              <w:jc w:val="center"/>
              <w:rPr>
                <w:rFonts w:ascii="宋体" w:hAnsi="宋体" w:cs="Arial"/>
                <w:bCs/>
              </w:rPr>
            </w:pPr>
            <w:r w:rsidRPr="00346CDF">
              <w:rPr>
                <w:rFonts w:ascii="宋体" w:hAnsi="宋体" w:cs="Arial"/>
                <w:bCs/>
              </w:rPr>
              <w:t>100.00%</w:t>
            </w:r>
          </w:p>
        </w:tc>
      </w:tr>
    </w:tbl>
    <w:p w:rsidR="00683C33" w:rsidRDefault="00683C33" w:rsidP="00180B1D">
      <w:pPr>
        <w:spacing w:beforeLines="50"/>
        <w:ind w:firstLineChars="200" w:firstLine="420"/>
        <w:jc w:val="center"/>
        <w:rPr>
          <w:rFonts w:ascii="Arial" w:hAnsi="Arial" w:cs="Arial"/>
          <w:bCs/>
          <w:szCs w:val="21"/>
        </w:rPr>
      </w:pPr>
      <w:r>
        <w:rPr>
          <w:rFonts w:ascii="Arial" w:hAnsi="Arial" w:cs="Arial"/>
          <w:noProof/>
          <w:szCs w:val="21"/>
        </w:rPr>
        <w:drawing>
          <wp:inline distT="0" distB="0" distL="0" distR="0">
            <wp:extent cx="4448175" cy="3076575"/>
            <wp:effectExtent l="0" t="0" r="0" b="0"/>
            <wp:docPr id="6" name="对象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83C33" w:rsidRDefault="00683C33" w:rsidP="00180B1D">
      <w:pPr>
        <w:spacing w:beforeLines="50"/>
        <w:ind w:firstLineChars="200" w:firstLine="420"/>
        <w:jc w:val="center"/>
        <w:rPr>
          <w:rFonts w:ascii="Arial" w:hAnsi="Arial" w:cs="Arial"/>
          <w:bCs/>
          <w:szCs w:val="21"/>
        </w:rPr>
      </w:pPr>
      <w:r>
        <w:rPr>
          <w:rFonts w:ascii="Arial" w:hAnsi="Arial" w:cs="Arial" w:hint="eastAsia"/>
          <w:bCs/>
          <w:szCs w:val="21"/>
        </w:rPr>
        <w:t>图</w:t>
      </w:r>
      <w:r>
        <w:rPr>
          <w:rFonts w:ascii="Arial" w:hAnsi="Arial" w:cs="Arial"/>
          <w:bCs/>
          <w:szCs w:val="21"/>
        </w:rPr>
        <w:t xml:space="preserve">2-2  </w:t>
      </w:r>
      <w:r>
        <w:rPr>
          <w:rFonts w:ascii="Arial" w:hAnsi="Arial" w:cs="Arial" w:hint="eastAsia"/>
          <w:bCs/>
          <w:szCs w:val="21"/>
        </w:rPr>
        <w:t>师资队伍学位结构情况</w:t>
      </w:r>
    </w:p>
    <w:p w:rsidR="00683C33" w:rsidRPr="00346CDF" w:rsidRDefault="00683C33" w:rsidP="00180B1D">
      <w:pPr>
        <w:spacing w:beforeLines="50"/>
        <w:ind w:firstLineChars="200" w:firstLine="420"/>
        <w:jc w:val="center"/>
        <w:rPr>
          <w:rFonts w:ascii="宋体" w:cs="Arial"/>
          <w:bCs/>
          <w:szCs w:val="21"/>
        </w:rPr>
      </w:pPr>
      <w:r w:rsidRPr="00346CDF">
        <w:rPr>
          <w:rFonts w:ascii="宋体" w:hAnsi="宋体" w:cs="Arial" w:hint="eastAsia"/>
          <w:bCs/>
          <w:szCs w:val="21"/>
        </w:rPr>
        <w:lastRenderedPageBreak/>
        <w:t>表</w:t>
      </w:r>
      <w:r w:rsidRPr="00346CDF">
        <w:rPr>
          <w:rFonts w:ascii="宋体" w:hAnsi="宋体" w:cs="Arial"/>
          <w:bCs/>
          <w:szCs w:val="21"/>
        </w:rPr>
        <w:t xml:space="preserve">2-3  </w:t>
      </w:r>
      <w:r w:rsidRPr="00346CDF">
        <w:rPr>
          <w:rFonts w:ascii="宋体" w:hAnsi="宋体" w:cs="Arial" w:hint="eastAsia"/>
          <w:bCs/>
          <w:szCs w:val="21"/>
        </w:rPr>
        <w:t>师资队伍职称结构情况</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7"/>
        <w:gridCol w:w="1142"/>
        <w:gridCol w:w="1142"/>
        <w:gridCol w:w="1148"/>
        <w:gridCol w:w="1318"/>
        <w:gridCol w:w="1046"/>
        <w:gridCol w:w="1046"/>
      </w:tblGrid>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职称</w:t>
            </w:r>
          </w:p>
        </w:tc>
        <w:tc>
          <w:tcPr>
            <w:tcW w:w="1142" w:type="dxa"/>
          </w:tcPr>
          <w:p w:rsidR="00683C33" w:rsidRPr="00346CDF" w:rsidRDefault="00683C33" w:rsidP="00E00D6E">
            <w:pPr>
              <w:jc w:val="center"/>
              <w:rPr>
                <w:rFonts w:ascii="宋体" w:cs="Arial"/>
                <w:bCs/>
              </w:rPr>
            </w:pPr>
            <w:r w:rsidRPr="00346CDF">
              <w:rPr>
                <w:rFonts w:ascii="宋体" w:hAnsi="宋体" w:cs="Arial" w:hint="eastAsia"/>
                <w:bCs/>
              </w:rPr>
              <w:t>教授</w:t>
            </w:r>
          </w:p>
        </w:tc>
        <w:tc>
          <w:tcPr>
            <w:tcW w:w="1142" w:type="dxa"/>
          </w:tcPr>
          <w:p w:rsidR="00683C33" w:rsidRPr="00346CDF" w:rsidRDefault="00683C33" w:rsidP="00E00D6E">
            <w:pPr>
              <w:jc w:val="center"/>
              <w:rPr>
                <w:rFonts w:ascii="宋体" w:cs="Arial"/>
                <w:bCs/>
              </w:rPr>
            </w:pPr>
            <w:r w:rsidRPr="00346CDF">
              <w:rPr>
                <w:rFonts w:ascii="宋体" w:hAnsi="宋体" w:cs="Arial" w:hint="eastAsia"/>
                <w:bCs/>
              </w:rPr>
              <w:t>副教授</w:t>
            </w:r>
          </w:p>
        </w:tc>
        <w:tc>
          <w:tcPr>
            <w:tcW w:w="1148" w:type="dxa"/>
          </w:tcPr>
          <w:p w:rsidR="00683C33" w:rsidRPr="00346CDF" w:rsidRDefault="00683C33" w:rsidP="00E00D6E">
            <w:pPr>
              <w:jc w:val="center"/>
              <w:rPr>
                <w:rFonts w:ascii="宋体" w:cs="Arial"/>
                <w:bCs/>
              </w:rPr>
            </w:pPr>
            <w:r w:rsidRPr="00346CDF">
              <w:rPr>
                <w:rFonts w:ascii="宋体" w:hAnsi="宋体" w:cs="Arial" w:hint="eastAsia"/>
                <w:bCs/>
              </w:rPr>
              <w:t>讲师</w:t>
            </w:r>
          </w:p>
        </w:tc>
        <w:tc>
          <w:tcPr>
            <w:tcW w:w="1318" w:type="dxa"/>
          </w:tcPr>
          <w:p w:rsidR="00683C33" w:rsidRPr="00346CDF" w:rsidRDefault="00683C33" w:rsidP="00E00D6E">
            <w:pPr>
              <w:jc w:val="center"/>
              <w:rPr>
                <w:rFonts w:ascii="宋体" w:cs="Arial"/>
                <w:bCs/>
              </w:rPr>
            </w:pPr>
            <w:r w:rsidRPr="00346CDF">
              <w:rPr>
                <w:rFonts w:ascii="宋体" w:hAnsi="宋体" w:cs="Arial" w:hint="eastAsia"/>
                <w:bCs/>
              </w:rPr>
              <w:t>助教</w:t>
            </w:r>
          </w:p>
        </w:tc>
        <w:tc>
          <w:tcPr>
            <w:tcW w:w="1046" w:type="dxa"/>
          </w:tcPr>
          <w:p w:rsidR="00683C33" w:rsidRPr="00346CDF" w:rsidRDefault="00683C33" w:rsidP="00E00D6E">
            <w:pPr>
              <w:jc w:val="center"/>
              <w:rPr>
                <w:rFonts w:ascii="宋体" w:cs="Arial"/>
                <w:bCs/>
              </w:rPr>
            </w:pPr>
            <w:r w:rsidRPr="00346CDF">
              <w:rPr>
                <w:rFonts w:ascii="宋体" w:hAnsi="宋体" w:cs="Arial" w:hint="eastAsia"/>
                <w:bCs/>
              </w:rPr>
              <w:t>未定级</w:t>
            </w:r>
          </w:p>
        </w:tc>
        <w:tc>
          <w:tcPr>
            <w:tcW w:w="1046" w:type="dxa"/>
          </w:tcPr>
          <w:p w:rsidR="00683C33" w:rsidRPr="00346CDF" w:rsidRDefault="00683C33" w:rsidP="00E00D6E">
            <w:pPr>
              <w:jc w:val="center"/>
              <w:rPr>
                <w:rFonts w:ascii="宋体" w:cs="Arial"/>
                <w:bCs/>
              </w:rPr>
            </w:pPr>
            <w:r w:rsidRPr="00346CDF">
              <w:rPr>
                <w:rFonts w:ascii="宋体" w:hAnsi="宋体" w:cs="Arial" w:hint="eastAsia"/>
                <w:bCs/>
              </w:rPr>
              <w:t>合计</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人数（名）</w:t>
            </w:r>
          </w:p>
        </w:tc>
        <w:tc>
          <w:tcPr>
            <w:tcW w:w="1142" w:type="dxa"/>
          </w:tcPr>
          <w:p w:rsidR="00683C33" w:rsidRPr="00346CDF" w:rsidRDefault="00683C33" w:rsidP="00E00D6E">
            <w:pPr>
              <w:jc w:val="center"/>
              <w:rPr>
                <w:rFonts w:ascii="宋体" w:cs="Arial"/>
                <w:bCs/>
              </w:rPr>
            </w:pPr>
            <w:r w:rsidRPr="00346CDF">
              <w:rPr>
                <w:rFonts w:ascii="宋体" w:hAnsi="宋体" w:cs="Arial"/>
                <w:bCs/>
              </w:rPr>
              <w:t>133</w:t>
            </w:r>
          </w:p>
        </w:tc>
        <w:tc>
          <w:tcPr>
            <w:tcW w:w="1142" w:type="dxa"/>
          </w:tcPr>
          <w:p w:rsidR="00683C33" w:rsidRPr="00346CDF" w:rsidRDefault="00683C33" w:rsidP="00E00D6E">
            <w:pPr>
              <w:jc w:val="center"/>
              <w:rPr>
                <w:rFonts w:ascii="宋体" w:cs="Arial"/>
                <w:bCs/>
              </w:rPr>
            </w:pPr>
            <w:r w:rsidRPr="00346CDF">
              <w:rPr>
                <w:rFonts w:ascii="宋体" w:hAnsi="宋体" w:cs="Arial"/>
                <w:bCs/>
              </w:rPr>
              <w:t>348</w:t>
            </w:r>
          </w:p>
        </w:tc>
        <w:tc>
          <w:tcPr>
            <w:tcW w:w="1148" w:type="dxa"/>
          </w:tcPr>
          <w:p w:rsidR="00683C33" w:rsidRPr="00346CDF" w:rsidRDefault="00683C33" w:rsidP="00E00D6E">
            <w:pPr>
              <w:jc w:val="center"/>
              <w:rPr>
                <w:rFonts w:ascii="宋体" w:cs="Arial"/>
                <w:bCs/>
              </w:rPr>
            </w:pPr>
            <w:r w:rsidRPr="00346CDF">
              <w:rPr>
                <w:rFonts w:ascii="宋体" w:hAnsi="宋体" w:cs="Arial"/>
                <w:bCs/>
              </w:rPr>
              <w:t>541</w:t>
            </w:r>
          </w:p>
        </w:tc>
        <w:tc>
          <w:tcPr>
            <w:tcW w:w="1318" w:type="dxa"/>
          </w:tcPr>
          <w:p w:rsidR="00683C33" w:rsidRPr="00346CDF" w:rsidRDefault="00683C33" w:rsidP="00E00D6E">
            <w:pPr>
              <w:jc w:val="center"/>
              <w:rPr>
                <w:rFonts w:ascii="宋体" w:cs="Arial"/>
                <w:bCs/>
              </w:rPr>
            </w:pPr>
            <w:r w:rsidRPr="00346CDF">
              <w:rPr>
                <w:rFonts w:ascii="宋体" w:hAnsi="宋体" w:cs="Arial"/>
                <w:bCs/>
              </w:rPr>
              <w:t>99</w:t>
            </w:r>
          </w:p>
        </w:tc>
        <w:tc>
          <w:tcPr>
            <w:tcW w:w="1046" w:type="dxa"/>
          </w:tcPr>
          <w:p w:rsidR="00683C33" w:rsidRPr="00346CDF" w:rsidRDefault="00683C33" w:rsidP="00E00D6E">
            <w:pPr>
              <w:jc w:val="center"/>
              <w:rPr>
                <w:rFonts w:ascii="宋体" w:cs="Arial"/>
                <w:bCs/>
              </w:rPr>
            </w:pPr>
            <w:r w:rsidRPr="00346CDF">
              <w:rPr>
                <w:rFonts w:ascii="宋体" w:hAnsi="宋体" w:cs="Arial"/>
                <w:bCs/>
              </w:rPr>
              <w:t>27</w:t>
            </w:r>
          </w:p>
        </w:tc>
        <w:tc>
          <w:tcPr>
            <w:tcW w:w="1046" w:type="dxa"/>
          </w:tcPr>
          <w:p w:rsidR="00683C33" w:rsidRPr="00346CDF" w:rsidRDefault="00683C33" w:rsidP="00E00D6E">
            <w:pPr>
              <w:jc w:val="center"/>
              <w:rPr>
                <w:rFonts w:ascii="宋体" w:cs="Arial"/>
                <w:bCs/>
              </w:rPr>
            </w:pPr>
            <w:r w:rsidRPr="00346CDF">
              <w:rPr>
                <w:rFonts w:ascii="宋体" w:hAnsi="宋体" w:cs="Arial"/>
                <w:bCs/>
              </w:rPr>
              <w:t>1148</w:t>
            </w:r>
          </w:p>
        </w:tc>
      </w:tr>
      <w:tr w:rsidR="00683C33" w:rsidRPr="00346CDF" w:rsidTr="00E00D6E">
        <w:trPr>
          <w:jc w:val="center"/>
        </w:trPr>
        <w:tc>
          <w:tcPr>
            <w:tcW w:w="1427" w:type="dxa"/>
          </w:tcPr>
          <w:p w:rsidR="00683C33" w:rsidRPr="00346CDF" w:rsidRDefault="00683C33" w:rsidP="00E00D6E">
            <w:pPr>
              <w:jc w:val="center"/>
              <w:rPr>
                <w:rFonts w:ascii="宋体" w:cs="Arial"/>
                <w:bCs/>
              </w:rPr>
            </w:pPr>
            <w:r w:rsidRPr="00346CDF">
              <w:rPr>
                <w:rFonts w:ascii="宋体" w:hAnsi="宋体" w:cs="Arial" w:hint="eastAsia"/>
                <w:bCs/>
              </w:rPr>
              <w:t>比例（</w:t>
            </w:r>
            <w:r w:rsidRPr="00346CDF">
              <w:rPr>
                <w:rFonts w:ascii="宋体" w:hAnsi="宋体" w:cs="Arial"/>
                <w:bCs/>
              </w:rPr>
              <w:t>%</w:t>
            </w:r>
            <w:r w:rsidRPr="00346CDF">
              <w:rPr>
                <w:rFonts w:ascii="宋体" w:hAnsi="宋体" w:cs="Arial" w:hint="eastAsia"/>
                <w:bCs/>
              </w:rPr>
              <w:t>）</w:t>
            </w:r>
          </w:p>
        </w:tc>
        <w:tc>
          <w:tcPr>
            <w:tcW w:w="1142" w:type="dxa"/>
          </w:tcPr>
          <w:p w:rsidR="00683C33" w:rsidRPr="00346CDF" w:rsidRDefault="00683C33" w:rsidP="00E00D6E">
            <w:pPr>
              <w:jc w:val="center"/>
              <w:rPr>
                <w:rFonts w:ascii="宋体" w:cs="Arial"/>
                <w:bCs/>
              </w:rPr>
            </w:pPr>
            <w:r w:rsidRPr="00346CDF">
              <w:rPr>
                <w:rFonts w:ascii="宋体" w:hAnsi="宋体" w:cs="Arial"/>
                <w:bCs/>
              </w:rPr>
              <w:t>11.59%</w:t>
            </w:r>
          </w:p>
        </w:tc>
        <w:tc>
          <w:tcPr>
            <w:tcW w:w="1142" w:type="dxa"/>
          </w:tcPr>
          <w:p w:rsidR="00683C33" w:rsidRPr="00346CDF" w:rsidRDefault="00683C33" w:rsidP="00E00D6E">
            <w:pPr>
              <w:jc w:val="center"/>
              <w:rPr>
                <w:rFonts w:ascii="宋体" w:cs="Arial"/>
                <w:bCs/>
              </w:rPr>
            </w:pPr>
            <w:r w:rsidRPr="00346CDF">
              <w:rPr>
                <w:rFonts w:ascii="宋体" w:hAnsi="宋体" w:cs="Arial"/>
                <w:bCs/>
              </w:rPr>
              <w:t>30.31%</w:t>
            </w:r>
          </w:p>
        </w:tc>
        <w:tc>
          <w:tcPr>
            <w:tcW w:w="1148" w:type="dxa"/>
          </w:tcPr>
          <w:p w:rsidR="00683C33" w:rsidRPr="00346CDF" w:rsidRDefault="00683C33" w:rsidP="00E00D6E">
            <w:pPr>
              <w:jc w:val="center"/>
              <w:rPr>
                <w:rFonts w:ascii="宋体" w:cs="Arial"/>
                <w:bCs/>
              </w:rPr>
            </w:pPr>
            <w:r w:rsidRPr="00346CDF">
              <w:rPr>
                <w:rFonts w:ascii="宋体" w:hAnsi="宋体" w:cs="Arial"/>
                <w:bCs/>
              </w:rPr>
              <w:t>47.13%</w:t>
            </w:r>
          </w:p>
        </w:tc>
        <w:tc>
          <w:tcPr>
            <w:tcW w:w="1318" w:type="dxa"/>
          </w:tcPr>
          <w:p w:rsidR="00683C33" w:rsidRPr="00346CDF" w:rsidRDefault="00683C33" w:rsidP="00E00D6E">
            <w:pPr>
              <w:jc w:val="center"/>
              <w:rPr>
                <w:rFonts w:ascii="宋体" w:cs="Arial"/>
                <w:bCs/>
              </w:rPr>
            </w:pPr>
            <w:r w:rsidRPr="00346CDF">
              <w:rPr>
                <w:rFonts w:ascii="宋体" w:hAnsi="宋体" w:cs="Arial"/>
                <w:bCs/>
              </w:rPr>
              <w:t>8.62%</w:t>
            </w:r>
          </w:p>
        </w:tc>
        <w:tc>
          <w:tcPr>
            <w:tcW w:w="1046" w:type="dxa"/>
          </w:tcPr>
          <w:p w:rsidR="00683C33" w:rsidRPr="00346CDF" w:rsidRDefault="00683C33" w:rsidP="00E00D6E">
            <w:pPr>
              <w:jc w:val="center"/>
              <w:rPr>
                <w:rFonts w:ascii="宋体" w:cs="Arial"/>
                <w:bCs/>
              </w:rPr>
            </w:pPr>
            <w:r w:rsidRPr="00346CDF">
              <w:rPr>
                <w:rFonts w:ascii="宋体" w:hAnsi="宋体" w:cs="Arial"/>
                <w:bCs/>
              </w:rPr>
              <w:t>2.35%</w:t>
            </w:r>
          </w:p>
        </w:tc>
        <w:tc>
          <w:tcPr>
            <w:tcW w:w="1046" w:type="dxa"/>
          </w:tcPr>
          <w:p w:rsidR="00683C33" w:rsidRPr="00346CDF" w:rsidRDefault="00683C33" w:rsidP="00E00D6E">
            <w:pPr>
              <w:jc w:val="center"/>
              <w:rPr>
                <w:rFonts w:ascii="宋体" w:hAnsi="宋体" w:cs="Arial"/>
                <w:bCs/>
              </w:rPr>
            </w:pPr>
            <w:r w:rsidRPr="00346CDF">
              <w:rPr>
                <w:rFonts w:ascii="宋体" w:hAnsi="宋体" w:cs="Arial"/>
                <w:bCs/>
              </w:rPr>
              <w:t>100.00%</w:t>
            </w:r>
          </w:p>
        </w:tc>
      </w:tr>
    </w:tbl>
    <w:p w:rsidR="00683C33" w:rsidRDefault="00683C33" w:rsidP="00180B1D">
      <w:pPr>
        <w:spacing w:beforeLines="50"/>
        <w:ind w:firstLineChars="200" w:firstLine="420"/>
        <w:jc w:val="center"/>
        <w:rPr>
          <w:rFonts w:ascii="Arial" w:hAnsi="Arial" w:cs="Arial"/>
          <w:bCs/>
          <w:szCs w:val="21"/>
        </w:rPr>
      </w:pPr>
    </w:p>
    <w:p w:rsidR="00683C33" w:rsidRDefault="00683C33" w:rsidP="00180B1D">
      <w:pPr>
        <w:spacing w:beforeLines="50"/>
        <w:ind w:firstLineChars="200" w:firstLine="420"/>
        <w:jc w:val="center"/>
        <w:rPr>
          <w:rFonts w:ascii="Arial" w:hAnsi="Arial" w:cs="Arial"/>
          <w:bCs/>
          <w:szCs w:val="21"/>
        </w:rPr>
      </w:pPr>
      <w:r>
        <w:rPr>
          <w:rFonts w:ascii="Arial" w:hAnsi="Arial" w:cs="Arial"/>
          <w:noProof/>
          <w:szCs w:val="21"/>
        </w:rPr>
        <w:drawing>
          <wp:inline distT="0" distB="0" distL="0" distR="0">
            <wp:extent cx="4762500" cy="3076575"/>
            <wp:effectExtent l="0" t="0" r="0" b="0"/>
            <wp:docPr id="7" name="对象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83C33" w:rsidRDefault="00683C33" w:rsidP="00180B1D">
      <w:pPr>
        <w:spacing w:beforeLines="50"/>
        <w:ind w:firstLineChars="200" w:firstLine="420"/>
        <w:jc w:val="center"/>
        <w:rPr>
          <w:rFonts w:ascii="Arial" w:hAnsi="Arial" w:cs="Arial"/>
          <w:bCs/>
          <w:szCs w:val="21"/>
        </w:rPr>
      </w:pPr>
      <w:r>
        <w:rPr>
          <w:rFonts w:ascii="Arial" w:hAnsi="Arial" w:cs="Arial" w:hint="eastAsia"/>
          <w:bCs/>
          <w:szCs w:val="21"/>
        </w:rPr>
        <w:t>图</w:t>
      </w:r>
      <w:r>
        <w:rPr>
          <w:rFonts w:ascii="Arial" w:hAnsi="Arial" w:cs="Arial"/>
          <w:bCs/>
          <w:szCs w:val="21"/>
        </w:rPr>
        <w:t xml:space="preserve">2-3  </w:t>
      </w:r>
      <w:r>
        <w:rPr>
          <w:rFonts w:ascii="Arial" w:hAnsi="Arial" w:cs="Arial" w:hint="eastAsia"/>
          <w:bCs/>
          <w:szCs w:val="21"/>
        </w:rPr>
        <w:t>师资队伍职称结构情况</w:t>
      </w:r>
    </w:p>
    <w:p w:rsidR="00683C33" w:rsidRDefault="00683C33" w:rsidP="00683C33"/>
    <w:p w:rsidR="001A33E0" w:rsidRPr="00E970CA" w:rsidRDefault="00683C33" w:rsidP="001A33E0">
      <w:pPr>
        <w:spacing w:line="360" w:lineRule="auto"/>
        <w:ind w:firstLineChars="200" w:firstLine="480"/>
        <w:rPr>
          <w:rFonts w:ascii="宋体" w:cs="Arial"/>
          <w:sz w:val="24"/>
        </w:rPr>
      </w:pPr>
      <w:r w:rsidRPr="00E970CA">
        <w:rPr>
          <w:rFonts w:ascii="宋体" w:hAnsi="宋体" w:cs="Arial" w:hint="eastAsia"/>
          <w:sz w:val="24"/>
        </w:rPr>
        <w:t>针对新办本科院校发展的师资瓶颈，学院坚持“三步走”的师资队伍建设路径。第一阶段，学院基础课程由自聘专任教师承担，专业课程主要由母体学校选派专任教师承担；第二阶段，学院基础课程由自聘专任教师承担，专业课程由学院自聘专任教师为主，母体学校选派专任教师为辅共同承担；第三阶段，所有课程以学院自聘专任教师为主，其他教师为辅承担。</w:t>
      </w:r>
      <w:r w:rsidRPr="00E970CA">
        <w:rPr>
          <w:rFonts w:ascii="宋体" w:hAnsi="宋体" w:cs="Arial"/>
          <w:sz w:val="24"/>
        </w:rPr>
        <w:t>2014</w:t>
      </w:r>
      <w:r w:rsidRPr="00E970CA">
        <w:rPr>
          <w:rFonts w:ascii="宋体" w:hAnsi="宋体" w:cs="Arial" w:hint="eastAsia"/>
          <w:sz w:val="24"/>
        </w:rPr>
        <w:t>学年，学院选聘和引进专任教师</w:t>
      </w:r>
      <w:r w:rsidRPr="00E970CA">
        <w:rPr>
          <w:rFonts w:ascii="宋体" w:hAnsi="宋体" w:cs="Arial"/>
          <w:sz w:val="24"/>
        </w:rPr>
        <w:t>26</w:t>
      </w:r>
      <w:r w:rsidRPr="00E970CA">
        <w:rPr>
          <w:rFonts w:ascii="宋体" w:hAnsi="宋体" w:cs="Arial" w:hint="eastAsia"/>
          <w:sz w:val="24"/>
        </w:rPr>
        <w:t>名、教辅人员</w:t>
      </w:r>
      <w:r w:rsidRPr="00E970CA">
        <w:rPr>
          <w:rFonts w:ascii="宋体" w:hAnsi="宋体" w:cs="Arial"/>
          <w:sz w:val="24"/>
        </w:rPr>
        <w:t>18</w:t>
      </w:r>
      <w:r w:rsidRPr="00E970CA">
        <w:rPr>
          <w:rFonts w:ascii="宋体" w:hAnsi="宋体" w:cs="Arial" w:hint="eastAsia"/>
          <w:sz w:val="24"/>
        </w:rPr>
        <w:t>名，学院已进入师资队伍建设第二阶段，师资队伍结构不断优化并取得实效，</w:t>
      </w:r>
      <w:r w:rsidRPr="00E970CA">
        <w:rPr>
          <w:rFonts w:ascii="宋体" w:hAnsi="宋体" w:cs="Arial"/>
          <w:sz w:val="24"/>
        </w:rPr>
        <w:t xml:space="preserve"> 2014</w:t>
      </w:r>
      <w:r w:rsidRPr="00E970CA">
        <w:rPr>
          <w:rFonts w:ascii="宋体" w:hAnsi="宋体" w:cs="Arial" w:hint="eastAsia"/>
          <w:sz w:val="24"/>
        </w:rPr>
        <w:t>学年学院</w:t>
      </w:r>
      <w:r w:rsidRPr="00E970CA">
        <w:rPr>
          <w:rFonts w:ascii="宋体" w:hAnsi="宋体" w:cs="Arial"/>
          <w:sz w:val="24"/>
        </w:rPr>
        <w:t>1</w:t>
      </w:r>
      <w:r w:rsidRPr="00E970CA">
        <w:rPr>
          <w:rFonts w:ascii="宋体" w:hAnsi="宋体" w:cs="Arial" w:hint="eastAsia"/>
          <w:sz w:val="24"/>
        </w:rPr>
        <w:t>名教师晋升教授、</w:t>
      </w:r>
      <w:r w:rsidRPr="00E970CA">
        <w:rPr>
          <w:rFonts w:ascii="宋体" w:hAnsi="宋体" w:cs="Arial"/>
          <w:sz w:val="24"/>
        </w:rPr>
        <w:t>4</w:t>
      </w:r>
      <w:r w:rsidRPr="00E970CA">
        <w:rPr>
          <w:rFonts w:ascii="宋体" w:hAnsi="宋体" w:cs="Arial" w:hint="eastAsia"/>
          <w:sz w:val="24"/>
        </w:rPr>
        <w:t>名教师晋升副教授，</w:t>
      </w:r>
      <w:r w:rsidRPr="00E970CA">
        <w:rPr>
          <w:rFonts w:ascii="宋体" w:hAnsi="宋体" w:cs="Arial"/>
          <w:sz w:val="24"/>
        </w:rPr>
        <w:t>29</w:t>
      </w:r>
      <w:r w:rsidRPr="00E970CA">
        <w:rPr>
          <w:rFonts w:ascii="宋体" w:hAnsi="宋体" w:cs="Arial" w:hint="eastAsia"/>
          <w:sz w:val="24"/>
        </w:rPr>
        <w:t>名教师晋升中级职称</w:t>
      </w:r>
      <w:r w:rsidR="001A33E0">
        <w:rPr>
          <w:rFonts w:ascii="宋体" w:hAnsi="宋体" w:cs="Arial" w:hint="eastAsia"/>
          <w:sz w:val="24"/>
        </w:rPr>
        <w:t>。</w:t>
      </w:r>
      <w:r w:rsidR="001A33E0" w:rsidRPr="00E970CA">
        <w:rPr>
          <w:rFonts w:ascii="宋体" w:hAnsi="宋体" w:cs="Arial" w:hint="eastAsia"/>
          <w:sz w:val="24"/>
        </w:rPr>
        <w:t>学院现有省级教学团队</w:t>
      </w:r>
      <w:r w:rsidR="001A33E0" w:rsidRPr="00E970CA">
        <w:rPr>
          <w:rFonts w:ascii="宋体" w:hAnsi="宋体" w:cs="Arial"/>
          <w:sz w:val="24"/>
        </w:rPr>
        <w:t>1</w:t>
      </w:r>
      <w:r w:rsidR="001A33E0" w:rsidRPr="00E970CA">
        <w:rPr>
          <w:rFonts w:ascii="宋体" w:hAnsi="宋体" w:cs="Arial" w:hint="eastAsia"/>
          <w:sz w:val="24"/>
        </w:rPr>
        <w:t>个，福建省教学名师奖</w:t>
      </w:r>
      <w:r w:rsidR="001A33E0" w:rsidRPr="00E970CA">
        <w:rPr>
          <w:rFonts w:ascii="宋体" w:hAnsi="宋体" w:cs="Arial"/>
          <w:sz w:val="24"/>
        </w:rPr>
        <w:t>3</w:t>
      </w:r>
      <w:r w:rsidR="001A33E0" w:rsidRPr="00E970CA">
        <w:rPr>
          <w:rFonts w:ascii="宋体" w:hAnsi="宋体" w:cs="Arial" w:hint="eastAsia"/>
          <w:sz w:val="24"/>
        </w:rPr>
        <w:t>名。</w:t>
      </w:r>
    </w:p>
    <w:p w:rsidR="00683C33" w:rsidRPr="00E970CA" w:rsidRDefault="00683C33" w:rsidP="001E230F">
      <w:pPr>
        <w:spacing w:line="360" w:lineRule="auto"/>
        <w:ind w:firstLineChars="250" w:firstLine="600"/>
      </w:pPr>
      <w:r w:rsidRPr="00E970CA">
        <w:rPr>
          <w:rFonts w:ascii="宋体" w:hAnsi="宋体" w:cs="Arial" w:hint="eastAsia"/>
          <w:sz w:val="24"/>
        </w:rPr>
        <w:t>学院注重完善教师培养机制，通过选派教师参加国内外业务培训或学术交流活动，参与科研和技能竞赛活动，提升教师教学科研水平。一是鼓励教师参与科研。</w:t>
      </w:r>
      <w:r w:rsidRPr="00E970CA">
        <w:rPr>
          <w:rFonts w:ascii="宋体" w:hAnsi="宋体" w:cs="宋体"/>
          <w:kern w:val="0"/>
          <w:sz w:val="24"/>
        </w:rPr>
        <w:t>2014</w:t>
      </w:r>
      <w:r w:rsidRPr="00E970CA">
        <w:rPr>
          <w:rFonts w:ascii="宋体" w:hAnsi="宋体" w:cs="宋体" w:hint="eastAsia"/>
          <w:kern w:val="0"/>
          <w:sz w:val="24"/>
        </w:rPr>
        <w:t>学年，学院教师获批科研项目</w:t>
      </w:r>
      <w:r w:rsidRPr="00E970CA">
        <w:rPr>
          <w:rFonts w:ascii="宋体" w:hAnsi="宋体" w:cs="宋体"/>
          <w:kern w:val="0"/>
          <w:sz w:val="24"/>
        </w:rPr>
        <w:t>36</w:t>
      </w:r>
      <w:r w:rsidRPr="00E970CA">
        <w:rPr>
          <w:rFonts w:ascii="宋体" w:hAnsi="宋体" w:cs="宋体" w:hint="eastAsia"/>
          <w:kern w:val="0"/>
          <w:sz w:val="24"/>
        </w:rPr>
        <w:t>项，并在多个省级科研项目立项中取得突破。包括福建省教育科学</w:t>
      </w:r>
      <w:r w:rsidRPr="00E970CA">
        <w:rPr>
          <w:rFonts w:ascii="宋体" w:cs="宋体" w:hint="eastAsia"/>
          <w:kern w:val="0"/>
          <w:sz w:val="24"/>
        </w:rPr>
        <w:t>“</w:t>
      </w:r>
      <w:r w:rsidRPr="00E970CA">
        <w:rPr>
          <w:rFonts w:ascii="宋体" w:hAnsi="宋体" w:cs="宋体" w:hint="eastAsia"/>
          <w:kern w:val="0"/>
          <w:sz w:val="24"/>
        </w:rPr>
        <w:t>十二五</w:t>
      </w:r>
      <w:r w:rsidRPr="00E970CA">
        <w:rPr>
          <w:rFonts w:ascii="宋体" w:cs="宋体" w:hint="eastAsia"/>
          <w:kern w:val="0"/>
          <w:sz w:val="24"/>
        </w:rPr>
        <w:t>”</w:t>
      </w:r>
      <w:r w:rsidRPr="00E970CA">
        <w:rPr>
          <w:rFonts w:ascii="宋体" w:hAnsi="宋体" w:cs="宋体" w:hint="eastAsia"/>
          <w:kern w:val="0"/>
          <w:sz w:val="24"/>
        </w:rPr>
        <w:t>规划</w:t>
      </w:r>
      <w:r w:rsidRPr="00E970CA">
        <w:rPr>
          <w:rFonts w:ascii="宋体" w:hAnsi="宋体" w:cs="宋体"/>
          <w:kern w:val="0"/>
          <w:sz w:val="24"/>
        </w:rPr>
        <w:t>2015</w:t>
      </w:r>
      <w:r w:rsidRPr="00E970CA">
        <w:rPr>
          <w:rFonts w:ascii="宋体" w:hAnsi="宋体" w:cs="宋体" w:hint="eastAsia"/>
          <w:kern w:val="0"/>
          <w:sz w:val="24"/>
        </w:rPr>
        <w:t>年度重点课题</w:t>
      </w:r>
      <w:r w:rsidRPr="00E970CA">
        <w:rPr>
          <w:rFonts w:ascii="宋体" w:hAnsi="宋体" w:cs="宋体"/>
          <w:kern w:val="0"/>
          <w:sz w:val="24"/>
        </w:rPr>
        <w:t>1</w:t>
      </w:r>
      <w:r w:rsidRPr="00E970CA">
        <w:rPr>
          <w:rFonts w:ascii="宋体" w:hAnsi="宋体" w:cs="宋体" w:hint="eastAsia"/>
          <w:kern w:val="0"/>
          <w:sz w:val="24"/>
        </w:rPr>
        <w:t>项；</w:t>
      </w:r>
      <w:r w:rsidRPr="00E970CA">
        <w:rPr>
          <w:rFonts w:ascii="宋体" w:hAnsi="宋体" w:cs="宋体"/>
          <w:kern w:val="0"/>
          <w:sz w:val="24"/>
        </w:rPr>
        <w:t>2015</w:t>
      </w:r>
      <w:r w:rsidRPr="00E970CA">
        <w:rPr>
          <w:rFonts w:ascii="宋体" w:hAnsi="宋体" w:cs="宋体" w:hint="eastAsia"/>
          <w:kern w:val="0"/>
          <w:sz w:val="24"/>
        </w:rPr>
        <w:t>福建省社会科学规划项目</w:t>
      </w:r>
      <w:r w:rsidRPr="00E970CA">
        <w:rPr>
          <w:rFonts w:ascii="宋体" w:hAnsi="宋体" w:cs="宋体"/>
          <w:kern w:val="0"/>
          <w:sz w:val="24"/>
        </w:rPr>
        <w:t>2</w:t>
      </w:r>
      <w:r w:rsidRPr="00E970CA">
        <w:rPr>
          <w:rFonts w:ascii="宋体" w:hAnsi="宋体" w:cs="宋体" w:hint="eastAsia"/>
          <w:kern w:val="0"/>
          <w:sz w:val="24"/>
        </w:rPr>
        <w:lastRenderedPageBreak/>
        <w:t>项；</w:t>
      </w:r>
      <w:r w:rsidRPr="00E970CA">
        <w:rPr>
          <w:rFonts w:ascii="宋体" w:hAnsi="宋体" w:cs="宋体"/>
          <w:kern w:val="0"/>
          <w:sz w:val="24"/>
        </w:rPr>
        <w:t>2015</w:t>
      </w:r>
      <w:r w:rsidRPr="00E970CA">
        <w:rPr>
          <w:rFonts w:ascii="宋体" w:hAnsi="宋体" w:cs="宋体" w:hint="eastAsia"/>
          <w:kern w:val="0"/>
          <w:sz w:val="24"/>
        </w:rPr>
        <w:t>福建省本科高校教育教学改革研究项目</w:t>
      </w:r>
      <w:r w:rsidRPr="00E970CA">
        <w:rPr>
          <w:rFonts w:ascii="宋体" w:hAnsi="宋体" w:cs="宋体"/>
          <w:kern w:val="0"/>
          <w:sz w:val="24"/>
        </w:rPr>
        <w:t>2</w:t>
      </w:r>
      <w:r w:rsidRPr="00E970CA">
        <w:rPr>
          <w:rFonts w:ascii="宋体" w:hAnsi="宋体" w:cs="宋体" w:hint="eastAsia"/>
          <w:kern w:val="0"/>
          <w:sz w:val="24"/>
        </w:rPr>
        <w:t>项；福建省中青年教师教育科研项目</w:t>
      </w:r>
      <w:r w:rsidRPr="00E970CA">
        <w:rPr>
          <w:rFonts w:ascii="宋体" w:hAnsi="宋体" w:cs="宋体"/>
          <w:kern w:val="0"/>
          <w:sz w:val="24"/>
        </w:rPr>
        <w:t>20</w:t>
      </w:r>
      <w:r w:rsidRPr="00E970CA">
        <w:rPr>
          <w:rFonts w:ascii="宋体" w:hAnsi="宋体" w:cs="宋体" w:hint="eastAsia"/>
          <w:kern w:val="0"/>
          <w:sz w:val="24"/>
        </w:rPr>
        <w:t>项，福州大学校科技发展基金</w:t>
      </w:r>
      <w:r w:rsidRPr="00E970CA">
        <w:rPr>
          <w:rFonts w:ascii="宋体" w:hAnsi="宋体" w:cs="宋体"/>
          <w:kern w:val="0"/>
          <w:sz w:val="24"/>
        </w:rPr>
        <w:t>11</w:t>
      </w:r>
      <w:r w:rsidRPr="00E970CA">
        <w:rPr>
          <w:rFonts w:ascii="宋体" w:hAnsi="宋体" w:cs="宋体" w:hint="eastAsia"/>
          <w:kern w:val="0"/>
          <w:sz w:val="24"/>
        </w:rPr>
        <w:t>项，教师科研立项在数量和质量上都得到了较大提升。</w:t>
      </w:r>
      <w:r w:rsidRPr="00E970CA">
        <w:rPr>
          <w:rFonts w:ascii="宋体" w:hAnsi="宋体" w:cs="Arial" w:hint="eastAsia"/>
          <w:sz w:val="24"/>
        </w:rPr>
        <w:t>二是选拔青年教师参加各类业务培训，经常选派教师参加国内外业务培训或学术交流活动。</w:t>
      </w:r>
      <w:r w:rsidRPr="00E970CA">
        <w:rPr>
          <w:rFonts w:ascii="宋体" w:hAnsi="宋体" w:cs="宋体" w:hint="eastAsia"/>
          <w:sz w:val="24"/>
        </w:rPr>
        <w:t>其中</w:t>
      </w:r>
      <w:r w:rsidRPr="00E970CA">
        <w:rPr>
          <w:rFonts w:ascii="宋体" w:hAnsi="宋体" w:cs="宋体"/>
          <w:sz w:val="24"/>
        </w:rPr>
        <w:t>2014</w:t>
      </w:r>
      <w:r w:rsidRPr="00E970CA">
        <w:rPr>
          <w:rFonts w:ascii="宋体" w:hAnsi="宋体" w:cs="宋体" w:hint="eastAsia"/>
          <w:sz w:val="24"/>
        </w:rPr>
        <w:t>年</w:t>
      </w:r>
      <w:r w:rsidRPr="00E970CA">
        <w:rPr>
          <w:rFonts w:ascii="宋体" w:hAnsi="宋体" w:cs="Arial"/>
          <w:sz w:val="24"/>
        </w:rPr>
        <w:t>11</w:t>
      </w:r>
      <w:r w:rsidRPr="00E970CA">
        <w:rPr>
          <w:rFonts w:ascii="宋体" w:hAnsi="宋体" w:cs="Arial" w:hint="eastAsia"/>
          <w:sz w:val="24"/>
        </w:rPr>
        <w:t>名教师参加</w:t>
      </w:r>
      <w:r w:rsidRPr="00E970CA">
        <w:rPr>
          <w:rFonts w:ascii="宋体" w:hAnsi="宋体" w:cs="宋体" w:hint="eastAsia"/>
          <w:sz w:val="24"/>
        </w:rPr>
        <w:t>为期</w:t>
      </w:r>
      <w:r w:rsidRPr="00E970CA">
        <w:rPr>
          <w:rFonts w:ascii="宋体" w:hAnsi="宋体" w:cs="宋体"/>
          <w:sz w:val="24"/>
        </w:rPr>
        <w:t>1</w:t>
      </w:r>
      <w:r w:rsidRPr="00E970CA">
        <w:rPr>
          <w:rFonts w:ascii="宋体" w:hAnsi="宋体" w:cs="宋体" w:hint="eastAsia"/>
          <w:sz w:val="24"/>
        </w:rPr>
        <w:t>个月的国外研习，</w:t>
      </w:r>
      <w:r w:rsidRPr="00E970CA">
        <w:rPr>
          <w:rFonts w:ascii="宋体" w:hAnsi="宋体" w:cs="宋体"/>
          <w:sz w:val="24"/>
        </w:rPr>
        <w:t>7</w:t>
      </w:r>
      <w:r w:rsidRPr="00E970CA">
        <w:rPr>
          <w:rFonts w:ascii="宋体" w:hAnsi="宋体" w:cs="宋体" w:hint="eastAsia"/>
          <w:sz w:val="24"/>
        </w:rPr>
        <w:t>名教师为国内访问学者。</w:t>
      </w:r>
      <w:r w:rsidRPr="00E970CA">
        <w:rPr>
          <w:rFonts w:ascii="宋体" w:hAnsi="宋体" w:cs="Arial" w:hint="eastAsia"/>
          <w:sz w:val="24"/>
        </w:rPr>
        <w:t>三是组织教师参加各类教学竞赛。如在</w:t>
      </w:r>
      <w:r w:rsidRPr="00E970CA">
        <w:rPr>
          <w:rFonts w:ascii="宋体" w:hAnsi="宋体" w:hint="eastAsia"/>
          <w:sz w:val="24"/>
        </w:rPr>
        <w:t>第六届“外教社”杯</w:t>
      </w:r>
      <w:r w:rsidRPr="00E970CA">
        <w:rPr>
          <w:rFonts w:ascii="宋体" w:hAnsi="宋体" w:cs="宋体" w:hint="eastAsia"/>
          <w:kern w:val="0"/>
          <w:sz w:val="24"/>
        </w:rPr>
        <w:t>谢熠焓老师荣获</w:t>
      </w:r>
      <w:r w:rsidRPr="00E970CA">
        <w:rPr>
          <w:rFonts w:ascii="宋体" w:hAnsi="宋体" w:hint="eastAsia"/>
          <w:sz w:val="24"/>
        </w:rPr>
        <w:t>全国高校外语教学大赛福建赛区二等奖</w:t>
      </w:r>
      <w:r w:rsidRPr="00E970CA">
        <w:rPr>
          <w:rFonts w:ascii="宋体" w:hAnsi="宋体" w:cs="Arial" w:hint="eastAsia"/>
          <w:sz w:val="24"/>
        </w:rPr>
        <w:t>；陈育栎老师参加第二届全省高校青年教师教学竞赛获得三等奖。</w:t>
      </w:r>
      <w:r w:rsidRPr="00E970CA">
        <w:rPr>
          <w:rFonts w:ascii="宋体" w:hAnsi="宋体" w:cs="Arial"/>
          <w:sz w:val="24"/>
        </w:rPr>
        <w:t>2014</w:t>
      </w:r>
      <w:r w:rsidRPr="00E970CA">
        <w:rPr>
          <w:rFonts w:ascii="宋体" w:hAnsi="宋体" w:cs="Arial" w:hint="eastAsia"/>
          <w:sz w:val="24"/>
        </w:rPr>
        <w:t>年，陈娟老师荣获“福建省优秀教师”荣誉称号；</w:t>
      </w:r>
      <w:r w:rsidRPr="00E970CA">
        <w:rPr>
          <w:rFonts w:ascii="宋体" w:hAnsi="宋体" w:cs="宋体" w:hint="eastAsia"/>
          <w:sz w:val="24"/>
        </w:rPr>
        <w:t>四是鼓励教师申报各类人才培育计划</w:t>
      </w:r>
      <w:r w:rsidRPr="00E970CA">
        <w:rPr>
          <w:rFonts w:ascii="宋体" w:hAnsi="宋体" w:cs="宋体"/>
          <w:sz w:val="24"/>
        </w:rPr>
        <w:t xml:space="preserve"> </w:t>
      </w:r>
      <w:r w:rsidRPr="00E970CA">
        <w:rPr>
          <w:rFonts w:ascii="宋体" w:hAnsi="宋体" w:cs="宋体" w:hint="eastAsia"/>
          <w:sz w:val="24"/>
        </w:rPr>
        <w:t>。一年来，学院积极推荐</w:t>
      </w:r>
      <w:r w:rsidRPr="00E970CA">
        <w:rPr>
          <w:rFonts w:ascii="宋体" w:hAnsi="宋体" w:cs="宋体"/>
          <w:sz w:val="24"/>
        </w:rPr>
        <w:t>3</w:t>
      </w:r>
      <w:r w:rsidRPr="00E970CA">
        <w:rPr>
          <w:rFonts w:ascii="宋体" w:hAnsi="宋体" w:cs="宋体" w:hint="eastAsia"/>
          <w:sz w:val="24"/>
        </w:rPr>
        <w:t>位教师申报“</w:t>
      </w:r>
      <w:r w:rsidRPr="00E970CA">
        <w:rPr>
          <w:rFonts w:ascii="宋体" w:hAnsi="宋体" w:cs="宋体"/>
          <w:sz w:val="24"/>
        </w:rPr>
        <w:t>2015</w:t>
      </w:r>
      <w:r w:rsidRPr="00E970CA">
        <w:rPr>
          <w:rFonts w:ascii="宋体" w:hAnsi="宋体" w:cs="宋体" w:hint="eastAsia"/>
          <w:sz w:val="24"/>
        </w:rPr>
        <w:t>年度福建省高校杰出青年科研人才培育计划”人选；推荐</w:t>
      </w:r>
      <w:r w:rsidRPr="00E970CA">
        <w:rPr>
          <w:rFonts w:ascii="宋体" w:hAnsi="宋体" w:cs="宋体"/>
          <w:sz w:val="24"/>
        </w:rPr>
        <w:t>2</w:t>
      </w:r>
      <w:r w:rsidRPr="00E970CA">
        <w:rPr>
          <w:rFonts w:ascii="宋体" w:hAnsi="宋体" w:cs="宋体" w:hint="eastAsia"/>
          <w:sz w:val="24"/>
        </w:rPr>
        <w:t>位教师申报“</w:t>
      </w:r>
      <w:r w:rsidRPr="00E970CA">
        <w:rPr>
          <w:rFonts w:ascii="宋体" w:hAnsi="宋体" w:cs="宋体"/>
          <w:sz w:val="24"/>
        </w:rPr>
        <w:t>2015</w:t>
      </w:r>
      <w:r w:rsidRPr="00E970CA">
        <w:rPr>
          <w:rFonts w:ascii="宋体" w:hAnsi="宋体" w:cs="宋体" w:hint="eastAsia"/>
          <w:sz w:val="24"/>
        </w:rPr>
        <w:t>年度福建省高校新世纪优秀人才支持计划”人选。</w:t>
      </w:r>
    </w:p>
    <w:p w:rsidR="00683C33" w:rsidRPr="00E970CA" w:rsidRDefault="00683C33" w:rsidP="0089285E">
      <w:pPr>
        <w:jc w:val="left"/>
        <w:outlineLvl w:val="1"/>
        <w:rPr>
          <w:rFonts w:ascii="黑体" w:eastAsia="黑体" w:hAnsi="宋体"/>
          <w:bCs/>
          <w:sz w:val="28"/>
          <w:szCs w:val="28"/>
        </w:rPr>
      </w:pPr>
      <w:bookmarkStart w:id="24" w:name="_Toc435622743"/>
      <w:bookmarkStart w:id="25" w:name="_Toc435623801"/>
      <w:r w:rsidRPr="00E970CA">
        <w:rPr>
          <w:rFonts w:ascii="黑体" w:eastAsia="黑体" w:hAnsi="宋体" w:hint="eastAsia"/>
          <w:bCs/>
          <w:sz w:val="28"/>
          <w:szCs w:val="28"/>
        </w:rPr>
        <w:t>（二）教学经费投入情况</w:t>
      </w:r>
      <w:bookmarkEnd w:id="24"/>
      <w:bookmarkEnd w:id="25"/>
    </w:p>
    <w:p w:rsidR="00683C33" w:rsidRDefault="00683C33" w:rsidP="00786001">
      <w:pPr>
        <w:spacing w:line="400" w:lineRule="exact"/>
        <w:ind w:firstLineChars="200" w:firstLine="480"/>
      </w:pPr>
      <w:r w:rsidRPr="00E970CA">
        <w:rPr>
          <w:rFonts w:ascii="宋体" w:hAnsi="宋体" w:cs="Arial" w:hint="eastAsia"/>
          <w:sz w:val="24"/>
        </w:rPr>
        <w:t>学院逐年加大对本科</w:t>
      </w:r>
      <w:r w:rsidRPr="009701E4">
        <w:rPr>
          <w:rFonts w:ascii="宋体" w:hAnsi="宋体" w:cs="Arial" w:hint="eastAsia"/>
          <w:sz w:val="24"/>
        </w:rPr>
        <w:t>教学经费的投入力度，投入大量资金用于教学基础设施建设改造，购置教学仪器设备、图书资料等，教育经费优先保障教学，使教学工作稳步发展，教学条件逐步完善，教学资源不断丰富，有力地促进了本科教学质量的提高。</w:t>
      </w:r>
      <w:r w:rsidRPr="009701E4">
        <w:rPr>
          <w:rFonts w:ascii="宋体" w:hAnsi="宋体" w:cs="Arial"/>
          <w:sz w:val="24"/>
        </w:rPr>
        <w:t>2014</w:t>
      </w:r>
      <w:r w:rsidRPr="009701E4">
        <w:rPr>
          <w:rFonts w:ascii="宋体" w:hAnsi="宋体" w:cs="宋体" w:hint="eastAsia"/>
          <w:sz w:val="24"/>
        </w:rPr>
        <w:t>年度，教学经费（不含维修费、课酬等）投入</w:t>
      </w:r>
      <w:r w:rsidRPr="009701E4">
        <w:rPr>
          <w:rFonts w:ascii="宋体" w:hAnsi="宋体" w:cs="Arial"/>
          <w:sz w:val="24"/>
        </w:rPr>
        <w:t>3981.08</w:t>
      </w:r>
      <w:r w:rsidRPr="009701E4">
        <w:rPr>
          <w:rFonts w:ascii="宋体" w:hAnsi="宋体" w:cs="宋体" w:hint="eastAsia"/>
          <w:sz w:val="24"/>
        </w:rPr>
        <w:t>万元，学生活动经费投入</w:t>
      </w:r>
      <w:r w:rsidRPr="009701E4">
        <w:rPr>
          <w:rFonts w:ascii="宋体" w:hAnsi="宋体" w:cs="Arial"/>
          <w:sz w:val="24"/>
        </w:rPr>
        <w:t>261.38</w:t>
      </w:r>
      <w:r w:rsidRPr="009701E4">
        <w:rPr>
          <w:rFonts w:ascii="宋体" w:hAnsi="宋体" w:cs="宋体" w:hint="eastAsia"/>
          <w:sz w:val="24"/>
        </w:rPr>
        <w:t>万元（不含实习经费）。</w:t>
      </w:r>
    </w:p>
    <w:p w:rsidR="00683C33" w:rsidRDefault="00683C33" w:rsidP="0089285E">
      <w:pPr>
        <w:jc w:val="left"/>
        <w:outlineLvl w:val="1"/>
        <w:rPr>
          <w:rFonts w:ascii="黑体" w:eastAsia="黑体" w:hAnsi="宋体"/>
          <w:bCs/>
          <w:sz w:val="28"/>
          <w:szCs w:val="28"/>
        </w:rPr>
      </w:pPr>
      <w:bookmarkStart w:id="26" w:name="_Toc435622744"/>
      <w:bookmarkStart w:id="27" w:name="_Toc435623802"/>
      <w:r w:rsidRPr="005D3ADD">
        <w:rPr>
          <w:rFonts w:ascii="黑体" w:eastAsia="黑体" w:hAnsi="宋体" w:hint="eastAsia"/>
          <w:bCs/>
          <w:sz w:val="28"/>
          <w:szCs w:val="28"/>
        </w:rPr>
        <w:t>（三）教学行政用房、图书、设备、信息资源及其应用情况</w:t>
      </w:r>
      <w:bookmarkEnd w:id="26"/>
      <w:bookmarkEnd w:id="27"/>
    </w:p>
    <w:p w:rsidR="002901BE" w:rsidRPr="002901BE" w:rsidRDefault="002901BE" w:rsidP="002901BE">
      <w:pPr>
        <w:spacing w:line="400" w:lineRule="exact"/>
        <w:ind w:firstLineChars="200" w:firstLine="480"/>
        <w:rPr>
          <w:rFonts w:ascii="宋体" w:hAnsi="宋体"/>
          <w:sz w:val="24"/>
        </w:rPr>
      </w:pPr>
      <w:r w:rsidRPr="002901BE">
        <w:rPr>
          <w:rFonts w:ascii="宋体" w:hAnsi="宋体" w:hint="eastAsia"/>
          <w:sz w:val="24"/>
        </w:rPr>
        <w:t>办学硬环境，是提升办学质量的前提和保障。近年来，学院强化教学场所、图书馆、实验室等各项基础设施建设，进一步完善办学硬环境，为学院提升办学质量打下了坚实基础。</w:t>
      </w:r>
    </w:p>
    <w:p w:rsidR="00BC613E" w:rsidRDefault="002901BE" w:rsidP="002901BE">
      <w:pPr>
        <w:spacing w:line="400" w:lineRule="exact"/>
        <w:ind w:firstLineChars="200" w:firstLine="480"/>
        <w:rPr>
          <w:rFonts w:ascii="宋体" w:hAnsi="宋体"/>
          <w:sz w:val="24"/>
        </w:rPr>
      </w:pPr>
      <w:r w:rsidRPr="002901BE">
        <w:rPr>
          <w:rFonts w:ascii="宋体" w:hAnsi="宋体" w:hint="eastAsia"/>
          <w:sz w:val="24"/>
        </w:rPr>
        <w:t>学院从2008年开始启动“温馨校园工程”建设。秉着传承与创新精神，学院对50多年的福州大学老校区进行了全面的改造装修。在已有的改造基础上，2014学院投资1154.2万元，进一步美化了校园环境；继续推进学生宿舍区装修改造工作，完成了空调线路改造室外电缆沟及电缆工程；室外高压电缆改造及新建配电房工程；中1、东2、东3、东6、东8室内线路改造工程；中2、中3、中4宿舍室内线路改造工程；中5、中6、中7、研南、研北室内线路改造工程；中8、中9、中10宿舍室内线路改造工程；东1、东4、东5、东教室内线路改造工程；东区、中区电房改造项目；电网改造增加项目；东2-东5宿舍空调外机架项目；第二、第三食堂改造工程；第四、五食堂及桃梨园食堂公共部分改造工程；土建南楼一层无损检测、液塑实验室装修改造工程；旧北区电房装修改造；东5、东3宿舍楼地面维修项目；福州大学怡山校区第九食堂改造工程；还对相应设备进行添置，包括福州大学至诚学院空调采购；福州大学至诚学院学生宿舍楼室内线；福州大学至诚学院电力电缆；福州大学至诚学院低压</w:t>
      </w:r>
      <w:r w:rsidRPr="002901BE">
        <w:rPr>
          <w:rFonts w:ascii="宋体" w:hAnsi="宋体" w:hint="eastAsia"/>
          <w:sz w:val="24"/>
        </w:rPr>
        <w:lastRenderedPageBreak/>
        <w:t>开关柜等设备</w:t>
      </w:r>
      <w:r w:rsidR="00F76A99">
        <w:rPr>
          <w:rFonts w:ascii="宋体" w:hAnsi="宋体" w:hint="eastAsia"/>
          <w:sz w:val="24"/>
        </w:rPr>
        <w:t xml:space="preserve">。   </w:t>
      </w:r>
    </w:p>
    <w:p w:rsidR="00683C33" w:rsidRPr="009701E4" w:rsidRDefault="002901BE" w:rsidP="002901BE">
      <w:pPr>
        <w:spacing w:line="400" w:lineRule="exact"/>
        <w:ind w:firstLineChars="200" w:firstLine="480"/>
        <w:rPr>
          <w:rFonts w:ascii="宋体" w:cs="Arial"/>
          <w:sz w:val="24"/>
        </w:rPr>
      </w:pPr>
      <w:r w:rsidRPr="002901BE">
        <w:rPr>
          <w:rFonts w:ascii="宋体" w:hAnsi="宋体" w:hint="eastAsia"/>
          <w:sz w:val="24"/>
        </w:rPr>
        <w:t>福州大学至诚学院电力变压器等</w:t>
      </w:r>
      <w:r w:rsidR="00683C33" w:rsidRPr="009701E4">
        <w:rPr>
          <w:rFonts w:ascii="宋体" w:hAnsi="宋体" w:cs="Arial" w:hint="eastAsia"/>
          <w:sz w:val="24"/>
        </w:rPr>
        <w:t>学院位于福州市鼓楼区杨桥西路</w:t>
      </w:r>
      <w:r w:rsidR="00683C33" w:rsidRPr="009701E4">
        <w:rPr>
          <w:rFonts w:ascii="宋体" w:hAnsi="宋体" w:cs="Arial"/>
          <w:sz w:val="24"/>
        </w:rPr>
        <w:t>50</w:t>
      </w:r>
      <w:r w:rsidR="00683C33" w:rsidRPr="009701E4">
        <w:rPr>
          <w:rFonts w:ascii="宋体" w:hAnsi="宋体" w:cs="Arial" w:hint="eastAsia"/>
          <w:sz w:val="24"/>
        </w:rPr>
        <w:t>号（福州大学老校区），占地</w:t>
      </w:r>
      <w:r w:rsidR="00683C33" w:rsidRPr="009701E4">
        <w:rPr>
          <w:rFonts w:ascii="宋体" w:hAnsi="宋体" w:cs="Arial"/>
          <w:sz w:val="24"/>
        </w:rPr>
        <w:t>600</w:t>
      </w:r>
      <w:r w:rsidR="00683C33" w:rsidRPr="009701E4">
        <w:rPr>
          <w:rFonts w:ascii="宋体" w:hAnsi="宋体" w:cs="Arial" w:hint="eastAsia"/>
          <w:sz w:val="24"/>
        </w:rPr>
        <w:t>多亩。学院教学行政用房面积</w:t>
      </w:r>
      <w:r w:rsidR="00683C33" w:rsidRPr="009701E4">
        <w:rPr>
          <w:rFonts w:ascii="宋体" w:hAnsi="宋体" w:cs="Arial"/>
          <w:sz w:val="24"/>
        </w:rPr>
        <w:t>178349m</w:t>
      </w:r>
      <w:r w:rsidR="00683C33" w:rsidRPr="009701E4">
        <w:rPr>
          <w:rFonts w:ascii="宋体" w:hAnsi="宋体" w:cs="Arial"/>
          <w:sz w:val="24"/>
          <w:vertAlign w:val="superscript"/>
        </w:rPr>
        <w:t>2</w:t>
      </w:r>
      <w:r w:rsidR="00683C33" w:rsidRPr="009701E4">
        <w:rPr>
          <w:rFonts w:ascii="宋体" w:hAnsi="宋体" w:cs="Arial" w:hint="eastAsia"/>
          <w:sz w:val="24"/>
        </w:rPr>
        <w:t>，生均教学行政用房面积</w:t>
      </w:r>
      <w:r w:rsidR="00683C33" w:rsidRPr="009701E4">
        <w:rPr>
          <w:rFonts w:ascii="宋体" w:hAnsi="宋体" w:cs="Arial"/>
          <w:sz w:val="24"/>
        </w:rPr>
        <w:t>15.17 m</w:t>
      </w:r>
      <w:r w:rsidR="00683C33" w:rsidRPr="009701E4">
        <w:rPr>
          <w:rFonts w:ascii="宋体" w:hAnsi="宋体" w:cs="Arial"/>
          <w:sz w:val="24"/>
          <w:vertAlign w:val="superscript"/>
        </w:rPr>
        <w:t>2</w:t>
      </w:r>
      <w:r w:rsidR="00683C33" w:rsidRPr="009701E4">
        <w:rPr>
          <w:rFonts w:ascii="宋体" w:hAnsi="宋体" w:cs="Arial" w:hint="eastAsia"/>
          <w:sz w:val="24"/>
        </w:rPr>
        <w:t>。学院拥有独立的行政办公楼</w:t>
      </w:r>
      <w:r w:rsidR="00683C33" w:rsidRPr="009701E4">
        <w:rPr>
          <w:rFonts w:ascii="宋体" w:hAnsi="宋体" w:cs="Arial"/>
          <w:sz w:val="24"/>
        </w:rPr>
        <w:t>,18</w:t>
      </w:r>
      <w:r w:rsidR="00683C33" w:rsidRPr="009701E4">
        <w:rPr>
          <w:rFonts w:ascii="宋体" w:hAnsi="宋体" w:cs="Arial" w:hint="eastAsia"/>
          <w:sz w:val="24"/>
        </w:rPr>
        <w:t>个教学单位均拥有独立的办公场所；</w:t>
      </w:r>
      <w:r w:rsidR="00683C33" w:rsidRPr="00FA0ED0">
        <w:rPr>
          <w:rFonts w:ascii="宋体" w:hAnsi="宋体" w:cs="Arial" w:hint="eastAsia"/>
          <w:sz w:val="24"/>
        </w:rPr>
        <w:t>各类功能教室总面积</w:t>
      </w:r>
      <w:r w:rsidR="00683C33" w:rsidRPr="00FA0ED0">
        <w:rPr>
          <w:rFonts w:ascii="宋体" w:hAnsi="宋体" w:cs="Arial"/>
          <w:sz w:val="24"/>
        </w:rPr>
        <w:t>159628.31m</w:t>
      </w:r>
      <w:r w:rsidR="00683C33" w:rsidRPr="00FA0ED0">
        <w:rPr>
          <w:rFonts w:ascii="宋体" w:hAnsi="宋体" w:cs="Arial"/>
          <w:sz w:val="24"/>
          <w:vertAlign w:val="superscript"/>
        </w:rPr>
        <w:t>2</w:t>
      </w:r>
      <w:r w:rsidR="00683C33" w:rsidRPr="00FA0ED0">
        <w:rPr>
          <w:rFonts w:ascii="宋体" w:hAnsi="宋体" w:cs="Arial" w:hint="eastAsia"/>
          <w:sz w:val="24"/>
        </w:rPr>
        <w:t>，</w:t>
      </w:r>
      <w:r w:rsidR="00683C33" w:rsidRPr="009701E4">
        <w:rPr>
          <w:rFonts w:ascii="宋体" w:hAnsi="宋体" w:cs="Arial" w:hint="eastAsia"/>
          <w:sz w:val="24"/>
        </w:rPr>
        <w:t>教室座位数</w:t>
      </w:r>
      <w:r w:rsidR="00683C33" w:rsidRPr="009701E4">
        <w:rPr>
          <w:rFonts w:ascii="宋体" w:hAnsi="宋体" w:cs="Arial"/>
          <w:sz w:val="24"/>
        </w:rPr>
        <w:t>17114</w:t>
      </w:r>
      <w:r w:rsidR="00683C33" w:rsidRPr="009701E4">
        <w:rPr>
          <w:rFonts w:ascii="宋体" w:hAnsi="宋体" w:cs="Arial" w:hint="eastAsia"/>
          <w:sz w:val="24"/>
        </w:rPr>
        <w:t>个；多媒体教室共</w:t>
      </w:r>
      <w:r w:rsidR="00683C33" w:rsidRPr="009701E4">
        <w:rPr>
          <w:rFonts w:ascii="宋体" w:hAnsi="宋体" w:cs="Arial"/>
          <w:sz w:val="24"/>
        </w:rPr>
        <w:t>157</w:t>
      </w:r>
      <w:r w:rsidR="00683C33" w:rsidRPr="009701E4">
        <w:rPr>
          <w:rFonts w:ascii="宋体" w:hAnsi="宋体" w:cs="Arial" w:hint="eastAsia"/>
          <w:sz w:val="24"/>
        </w:rPr>
        <w:t>间；语音实验室共</w:t>
      </w:r>
      <w:r w:rsidR="00683C33" w:rsidRPr="009701E4">
        <w:rPr>
          <w:rFonts w:ascii="宋体" w:hAnsi="宋体" w:cs="Arial"/>
          <w:sz w:val="24"/>
        </w:rPr>
        <w:t>1</w:t>
      </w:r>
      <w:r w:rsidR="00683C33" w:rsidRPr="009701E4">
        <w:rPr>
          <w:rFonts w:ascii="宋体" w:cs="Arial"/>
          <w:sz w:val="24"/>
        </w:rPr>
        <w:t>0</w:t>
      </w:r>
      <w:r w:rsidR="00683C33" w:rsidRPr="009701E4">
        <w:rPr>
          <w:rFonts w:ascii="宋体" w:hAnsi="宋体" w:cs="Arial" w:hint="eastAsia"/>
          <w:sz w:val="24"/>
        </w:rPr>
        <w:t>间，语音室座位数</w:t>
      </w:r>
      <w:r w:rsidR="00683C33" w:rsidRPr="009701E4">
        <w:rPr>
          <w:rFonts w:ascii="宋体" w:hAnsi="宋体" w:cs="Arial"/>
          <w:sz w:val="24"/>
        </w:rPr>
        <w:t>564</w:t>
      </w:r>
      <w:r w:rsidR="00683C33" w:rsidRPr="009701E4">
        <w:rPr>
          <w:rFonts w:ascii="宋体" w:hAnsi="宋体" w:cs="Arial" w:hint="eastAsia"/>
          <w:sz w:val="24"/>
        </w:rPr>
        <w:t>个；教学用计算机</w:t>
      </w:r>
      <w:r w:rsidR="00683C33" w:rsidRPr="009701E4">
        <w:rPr>
          <w:rFonts w:ascii="宋体" w:hAnsi="宋体" w:cs="Arial"/>
          <w:sz w:val="24"/>
        </w:rPr>
        <w:t>3666</w:t>
      </w:r>
      <w:r w:rsidR="00683C33" w:rsidRPr="009701E4">
        <w:rPr>
          <w:rFonts w:ascii="宋体" w:hAnsi="宋体" w:cs="Arial" w:hint="eastAsia"/>
          <w:sz w:val="24"/>
        </w:rPr>
        <w:t>台。学院学生宿舍共</w:t>
      </w:r>
      <w:r w:rsidR="00683C33" w:rsidRPr="009701E4">
        <w:rPr>
          <w:rFonts w:ascii="宋体" w:hAnsi="宋体" w:cs="Arial"/>
          <w:sz w:val="24"/>
        </w:rPr>
        <w:t>33</w:t>
      </w:r>
      <w:r w:rsidR="00683C33" w:rsidRPr="009701E4">
        <w:rPr>
          <w:rFonts w:ascii="宋体" w:hAnsi="宋体" w:cs="Arial" w:hint="eastAsia"/>
          <w:sz w:val="24"/>
        </w:rPr>
        <w:t>栋，学生宿舍面积</w:t>
      </w:r>
      <w:r w:rsidR="00683C33" w:rsidRPr="009701E4">
        <w:rPr>
          <w:rFonts w:ascii="宋体" w:hAnsi="宋体" w:cs="Arial"/>
          <w:sz w:val="24"/>
        </w:rPr>
        <w:t>96818m</w:t>
      </w:r>
      <w:r w:rsidR="00683C33" w:rsidRPr="009701E4">
        <w:rPr>
          <w:rFonts w:ascii="宋体" w:hAnsi="宋体" w:cs="Arial"/>
          <w:sz w:val="24"/>
          <w:vertAlign w:val="superscript"/>
        </w:rPr>
        <w:t>2</w:t>
      </w:r>
      <w:r w:rsidR="00683C33" w:rsidRPr="009701E4">
        <w:rPr>
          <w:rFonts w:ascii="宋体" w:hAnsi="宋体" w:cs="Arial" w:hint="eastAsia"/>
          <w:sz w:val="24"/>
        </w:rPr>
        <w:t>，楼总间数</w:t>
      </w:r>
      <w:r w:rsidR="00683C33" w:rsidRPr="009701E4">
        <w:rPr>
          <w:rFonts w:ascii="宋体" w:hAnsi="宋体" w:cs="Arial"/>
          <w:sz w:val="24"/>
        </w:rPr>
        <w:t>2945</w:t>
      </w:r>
      <w:r w:rsidR="00683C33" w:rsidRPr="009701E4">
        <w:rPr>
          <w:rFonts w:ascii="宋体" w:hAnsi="宋体" w:cs="Arial" w:hint="eastAsia"/>
          <w:sz w:val="24"/>
        </w:rPr>
        <w:t>间。学院饮食中心下设</w:t>
      </w:r>
      <w:r w:rsidR="00683C33" w:rsidRPr="009701E4">
        <w:rPr>
          <w:rFonts w:ascii="宋体" w:hAnsi="宋体" w:cs="Arial"/>
          <w:sz w:val="24"/>
        </w:rPr>
        <w:t>6</w:t>
      </w:r>
      <w:r w:rsidR="00683C33" w:rsidRPr="009701E4">
        <w:rPr>
          <w:rFonts w:ascii="宋体" w:hAnsi="宋体" w:cs="Arial" w:hint="eastAsia"/>
          <w:sz w:val="24"/>
        </w:rPr>
        <w:t>个餐厅，面积</w:t>
      </w:r>
      <w:r w:rsidR="00683C33" w:rsidRPr="009701E4">
        <w:rPr>
          <w:rFonts w:ascii="宋体" w:hAnsi="宋体" w:cs="Arial"/>
          <w:sz w:val="24"/>
        </w:rPr>
        <w:t>7225m</w:t>
      </w:r>
      <w:r w:rsidR="00683C33" w:rsidRPr="009701E4">
        <w:rPr>
          <w:rFonts w:ascii="宋体" w:hAnsi="宋体" w:cs="Arial"/>
          <w:sz w:val="24"/>
          <w:vertAlign w:val="superscript"/>
        </w:rPr>
        <w:t>2</w:t>
      </w:r>
      <w:r w:rsidR="00683C33" w:rsidRPr="009701E4">
        <w:rPr>
          <w:rFonts w:ascii="宋体" w:hAnsi="宋体" w:cs="Arial" w:hint="eastAsia"/>
          <w:sz w:val="24"/>
        </w:rPr>
        <w:t>。学院图书馆建筑面积共有</w:t>
      </w:r>
      <w:r w:rsidR="00683C33" w:rsidRPr="009701E4">
        <w:rPr>
          <w:rFonts w:ascii="宋体" w:hAnsi="宋体" w:cs="Arial"/>
          <w:sz w:val="24"/>
        </w:rPr>
        <w:t>1.37</w:t>
      </w:r>
      <w:r w:rsidR="00683C33" w:rsidRPr="009701E4">
        <w:rPr>
          <w:rFonts w:ascii="宋体" w:hAnsi="宋体" w:cs="Arial" w:hint="eastAsia"/>
          <w:sz w:val="24"/>
        </w:rPr>
        <w:t>万</w:t>
      </w:r>
      <w:r w:rsidR="00683C33" w:rsidRPr="009701E4">
        <w:rPr>
          <w:rFonts w:ascii="宋体" w:hAnsi="宋体" w:cs="Arial"/>
          <w:sz w:val="24"/>
        </w:rPr>
        <w:t>m</w:t>
      </w:r>
      <w:r w:rsidR="00683C33" w:rsidRPr="009701E4">
        <w:rPr>
          <w:rFonts w:ascii="宋体" w:hAnsi="宋体" w:cs="Arial"/>
          <w:sz w:val="24"/>
          <w:vertAlign w:val="superscript"/>
        </w:rPr>
        <w:t>2</w:t>
      </w:r>
      <w:r w:rsidR="00683C33" w:rsidRPr="009701E4">
        <w:rPr>
          <w:rFonts w:ascii="宋体" w:hAnsi="宋体" w:cs="Arial" w:hint="eastAsia"/>
          <w:sz w:val="24"/>
        </w:rPr>
        <w:t>，藏书</w:t>
      </w:r>
      <w:r w:rsidR="00683C33" w:rsidRPr="009701E4">
        <w:rPr>
          <w:rFonts w:ascii="宋体" w:hAnsi="宋体" w:cs="Arial"/>
          <w:sz w:val="24"/>
        </w:rPr>
        <w:t>49</w:t>
      </w:r>
      <w:r w:rsidR="00683C33" w:rsidRPr="009701E4">
        <w:rPr>
          <w:rFonts w:ascii="宋体" w:hAnsi="宋体" w:cs="Arial" w:hint="eastAsia"/>
          <w:sz w:val="24"/>
        </w:rPr>
        <w:t>余万册，学年订阅纸质期刊</w:t>
      </w:r>
      <w:r w:rsidR="00683C33" w:rsidRPr="009701E4">
        <w:rPr>
          <w:rFonts w:ascii="宋体" w:hAnsi="宋体" w:cs="Arial"/>
          <w:sz w:val="24"/>
        </w:rPr>
        <w:t>628</w:t>
      </w:r>
      <w:r w:rsidR="006F0044">
        <w:rPr>
          <w:rFonts w:ascii="宋体" w:hAnsi="宋体" w:cs="Arial" w:hint="eastAsia"/>
          <w:sz w:val="24"/>
        </w:rPr>
        <w:t>种，阅览</w:t>
      </w:r>
      <w:r w:rsidR="00683C33" w:rsidRPr="009701E4">
        <w:rPr>
          <w:rFonts w:ascii="宋体" w:hAnsi="宋体" w:cs="Arial" w:hint="eastAsia"/>
          <w:sz w:val="24"/>
        </w:rPr>
        <w:t>座位数</w:t>
      </w:r>
      <w:r w:rsidR="00683C33" w:rsidRPr="009701E4">
        <w:rPr>
          <w:rFonts w:ascii="宋体" w:hAnsi="宋体" w:cs="Arial"/>
          <w:sz w:val="24"/>
        </w:rPr>
        <w:t>650</w:t>
      </w:r>
      <w:r w:rsidR="00683C33" w:rsidRPr="009701E4">
        <w:rPr>
          <w:rFonts w:ascii="宋体" w:hAnsi="宋体" w:cs="Arial" w:hint="eastAsia"/>
          <w:sz w:val="24"/>
        </w:rPr>
        <w:t>个。学院运动场地总面积为</w:t>
      </w:r>
      <w:r w:rsidR="00683C33" w:rsidRPr="009701E4">
        <w:rPr>
          <w:rFonts w:ascii="宋体" w:hAnsi="宋体" w:cs="Arial"/>
          <w:sz w:val="24"/>
        </w:rPr>
        <w:t>36943m</w:t>
      </w:r>
      <w:r w:rsidR="00683C33" w:rsidRPr="009701E4">
        <w:rPr>
          <w:rFonts w:ascii="宋体" w:hAnsi="宋体" w:cs="Arial"/>
          <w:sz w:val="24"/>
          <w:vertAlign w:val="superscript"/>
        </w:rPr>
        <w:t>2</w:t>
      </w:r>
      <w:r w:rsidR="00683C33" w:rsidRPr="009701E4">
        <w:rPr>
          <w:rFonts w:ascii="宋体" w:hAnsi="宋体" w:cs="Arial" w:hint="eastAsia"/>
          <w:sz w:val="24"/>
        </w:rPr>
        <w:t>。学院教学仪器设备总资产</w:t>
      </w:r>
      <w:r w:rsidR="00683C33" w:rsidRPr="009701E4">
        <w:rPr>
          <w:rFonts w:ascii="宋体" w:hAnsi="宋体" w:cs="Arial"/>
          <w:sz w:val="24"/>
        </w:rPr>
        <w:t>5394.93</w:t>
      </w:r>
      <w:r w:rsidR="00683C33" w:rsidRPr="009701E4">
        <w:rPr>
          <w:rFonts w:ascii="宋体" w:hAnsi="宋体" w:cs="Arial" w:hint="eastAsia"/>
          <w:sz w:val="24"/>
        </w:rPr>
        <w:t>万元，其中</w:t>
      </w:r>
      <w:r w:rsidR="00683C33" w:rsidRPr="009701E4">
        <w:rPr>
          <w:rFonts w:ascii="宋体" w:hAnsi="宋体" w:cs="Arial"/>
          <w:sz w:val="24"/>
        </w:rPr>
        <w:t>2014</w:t>
      </w:r>
      <w:r w:rsidR="00683C33" w:rsidRPr="009701E4">
        <w:rPr>
          <w:rFonts w:ascii="宋体" w:hAnsi="宋体" w:cs="Arial" w:hint="eastAsia"/>
          <w:sz w:val="24"/>
        </w:rPr>
        <w:t>学年新增教学科研仪器设备值为</w:t>
      </w:r>
      <w:r w:rsidR="00683C33" w:rsidRPr="009701E4">
        <w:rPr>
          <w:rFonts w:ascii="宋体" w:hAnsi="宋体" w:cs="Arial"/>
          <w:sz w:val="24"/>
        </w:rPr>
        <w:t>733.67</w:t>
      </w:r>
      <w:r w:rsidR="00683C33" w:rsidRPr="009701E4">
        <w:rPr>
          <w:rFonts w:ascii="宋体" w:hAnsi="宋体" w:cs="Arial" w:hint="eastAsia"/>
          <w:sz w:val="24"/>
        </w:rPr>
        <w:t>万元。</w:t>
      </w:r>
    </w:p>
    <w:p w:rsidR="00683C33" w:rsidRDefault="00683C33" w:rsidP="00165543">
      <w:pPr>
        <w:widowControl/>
        <w:spacing w:line="400" w:lineRule="exact"/>
        <w:ind w:firstLineChars="200" w:firstLine="480"/>
        <w:jc w:val="left"/>
        <w:rPr>
          <w:rFonts w:ascii="黑体" w:eastAsia="黑体"/>
          <w:bCs/>
          <w:kern w:val="44"/>
          <w:sz w:val="30"/>
          <w:szCs w:val="30"/>
        </w:rPr>
      </w:pPr>
      <w:bookmarkStart w:id="28" w:name="_Toc352314701"/>
      <w:bookmarkStart w:id="29" w:name="_Toc401687537"/>
      <w:bookmarkStart w:id="30" w:name="_Toc403383386"/>
      <w:r w:rsidRPr="009701E4">
        <w:rPr>
          <w:rFonts w:ascii="宋体" w:hAnsi="宋体" w:cs="宋体" w:hint="eastAsia"/>
          <w:kern w:val="0"/>
          <w:sz w:val="24"/>
        </w:rPr>
        <w:t>学院已有稳定、高效、相对安全的网络信息中心，有线网络覆盖整个校园。目前总共接入</w:t>
      </w:r>
      <w:r w:rsidRPr="009701E4">
        <w:rPr>
          <w:rFonts w:ascii="宋体" w:hAnsi="宋体" w:cs="宋体"/>
          <w:kern w:val="0"/>
          <w:sz w:val="24"/>
        </w:rPr>
        <w:t>33</w:t>
      </w:r>
      <w:r w:rsidRPr="009701E4">
        <w:rPr>
          <w:rFonts w:ascii="宋体" w:hAnsi="宋体" w:cs="宋体" w:hint="eastAsia"/>
          <w:kern w:val="0"/>
          <w:sz w:val="24"/>
        </w:rPr>
        <w:t>栋学生宿舍楼，</w:t>
      </w:r>
      <w:r w:rsidRPr="009701E4">
        <w:rPr>
          <w:rFonts w:ascii="宋体" w:hAnsi="宋体" w:cs="宋体"/>
          <w:kern w:val="0"/>
          <w:sz w:val="24"/>
        </w:rPr>
        <w:t>42</w:t>
      </w:r>
      <w:r w:rsidRPr="009701E4">
        <w:rPr>
          <w:rFonts w:ascii="宋体" w:hAnsi="宋体" w:cs="宋体" w:hint="eastAsia"/>
          <w:kern w:val="0"/>
          <w:sz w:val="24"/>
        </w:rPr>
        <w:t>栋教学办公楼，</w:t>
      </w:r>
      <w:r w:rsidRPr="009701E4">
        <w:rPr>
          <w:rFonts w:ascii="宋体" w:hAnsi="宋体" w:cs="宋体"/>
          <w:kern w:val="0"/>
          <w:sz w:val="24"/>
        </w:rPr>
        <w:t>1</w:t>
      </w:r>
      <w:r w:rsidRPr="009701E4">
        <w:rPr>
          <w:rFonts w:ascii="宋体" w:hAnsi="宋体" w:cs="宋体" w:hint="eastAsia"/>
          <w:kern w:val="0"/>
          <w:sz w:val="24"/>
        </w:rPr>
        <w:t>栋教工宿舍楼，总共有效接入信息点达</w:t>
      </w:r>
      <w:r w:rsidRPr="009701E4">
        <w:rPr>
          <w:rFonts w:ascii="宋体" w:hAnsi="宋体" w:cs="宋体"/>
          <w:kern w:val="0"/>
          <w:sz w:val="24"/>
        </w:rPr>
        <w:t>18000</w:t>
      </w:r>
      <w:r w:rsidRPr="009701E4">
        <w:rPr>
          <w:rFonts w:ascii="宋体" w:hAnsi="宋体" w:cs="宋体" w:hint="eastAsia"/>
          <w:kern w:val="0"/>
          <w:sz w:val="24"/>
        </w:rPr>
        <w:t>个，其中已接入认证平台使用的用户达</w:t>
      </w:r>
      <w:r w:rsidRPr="009701E4">
        <w:rPr>
          <w:rFonts w:ascii="宋体" w:hAnsi="宋体" w:cs="宋体"/>
          <w:kern w:val="0"/>
          <w:sz w:val="24"/>
        </w:rPr>
        <w:t>1</w:t>
      </w:r>
      <w:r w:rsidRPr="009701E4">
        <w:rPr>
          <w:rFonts w:ascii="宋体" w:hAnsi="宋体" w:cs="宋体" w:hint="eastAsia"/>
          <w:kern w:val="0"/>
          <w:sz w:val="24"/>
        </w:rPr>
        <w:t>万</w:t>
      </w:r>
      <w:r w:rsidRPr="009701E4">
        <w:rPr>
          <w:rFonts w:ascii="宋体" w:hAnsi="宋体" w:cs="宋体"/>
          <w:kern w:val="0"/>
          <w:sz w:val="24"/>
        </w:rPr>
        <w:t>5</w:t>
      </w:r>
      <w:r w:rsidRPr="009701E4">
        <w:rPr>
          <w:rFonts w:ascii="宋体" w:hAnsi="宋体" w:cs="宋体" w:hint="eastAsia"/>
          <w:kern w:val="0"/>
          <w:sz w:val="24"/>
        </w:rPr>
        <w:t>千多个。学院校园网具有高速、可控、相对开放、服务完善、交互特征明显的网络体系。为大容量的教学资源库、</w:t>
      </w:r>
      <w:r w:rsidRPr="009701E4">
        <w:rPr>
          <w:rFonts w:ascii="宋体" w:hAnsi="宋体" w:cs="宋体"/>
          <w:kern w:val="0"/>
          <w:sz w:val="24"/>
        </w:rPr>
        <w:t>WEB</w:t>
      </w:r>
      <w:r w:rsidRPr="009701E4">
        <w:rPr>
          <w:rFonts w:ascii="宋体" w:hAnsi="宋体" w:cs="宋体" w:hint="eastAsia"/>
          <w:kern w:val="0"/>
          <w:sz w:val="24"/>
        </w:rPr>
        <w:t>、</w:t>
      </w:r>
      <w:r w:rsidRPr="009701E4">
        <w:rPr>
          <w:rFonts w:ascii="宋体" w:hAnsi="宋体" w:cs="宋体"/>
          <w:kern w:val="0"/>
          <w:sz w:val="24"/>
        </w:rPr>
        <w:t>FTP</w:t>
      </w:r>
      <w:r w:rsidRPr="009701E4">
        <w:rPr>
          <w:rFonts w:ascii="宋体" w:hAnsi="宋体" w:cs="宋体" w:hint="eastAsia"/>
          <w:kern w:val="0"/>
          <w:sz w:val="24"/>
        </w:rPr>
        <w:t>、数据库服务器、各种流媒体和各种应用平台提供有力的支持。以及用于满足日常教学、管理等工作，如电子教务系统、教学系统、学生管理系统、办公自动化系统、数字图书馆、多媒体教学、视频会议以及其他信息化业务应用需求。</w:t>
      </w:r>
      <w:r w:rsidRPr="009701E4">
        <w:rPr>
          <w:rFonts w:ascii="宋体" w:hAnsi="宋体" w:cs="宋体"/>
          <w:kern w:val="0"/>
          <w:sz w:val="24"/>
        </w:rPr>
        <w:t xml:space="preserve"> </w:t>
      </w:r>
      <w:bookmarkEnd w:id="28"/>
      <w:bookmarkEnd w:id="29"/>
      <w:bookmarkEnd w:id="30"/>
    </w:p>
    <w:p w:rsidR="00683C33" w:rsidRPr="005D3ADD" w:rsidRDefault="00683C33" w:rsidP="0089285E">
      <w:pPr>
        <w:jc w:val="left"/>
        <w:outlineLvl w:val="0"/>
        <w:rPr>
          <w:rFonts w:ascii="黑体" w:eastAsia="黑体"/>
          <w:bCs/>
          <w:kern w:val="44"/>
          <w:sz w:val="30"/>
          <w:szCs w:val="30"/>
        </w:rPr>
      </w:pPr>
      <w:bookmarkStart w:id="31" w:name="_Toc435622745"/>
      <w:bookmarkStart w:id="32" w:name="_Toc435623803"/>
      <w:r w:rsidRPr="005D3ADD">
        <w:rPr>
          <w:rFonts w:ascii="黑体" w:eastAsia="黑体" w:hint="eastAsia"/>
          <w:bCs/>
          <w:kern w:val="44"/>
          <w:sz w:val="30"/>
          <w:szCs w:val="30"/>
        </w:rPr>
        <w:t>三、教学建设与改革</w:t>
      </w:r>
      <w:bookmarkEnd w:id="31"/>
      <w:bookmarkEnd w:id="32"/>
    </w:p>
    <w:p w:rsidR="00683C33" w:rsidRPr="0089285E" w:rsidRDefault="00683C33" w:rsidP="0089285E">
      <w:pPr>
        <w:jc w:val="left"/>
        <w:outlineLvl w:val="1"/>
        <w:rPr>
          <w:rFonts w:ascii="黑体" w:eastAsia="黑体" w:hAnsi="宋体"/>
          <w:bCs/>
          <w:sz w:val="28"/>
          <w:szCs w:val="28"/>
        </w:rPr>
      </w:pPr>
      <w:bookmarkStart w:id="33" w:name="_Toc435622746"/>
      <w:bookmarkStart w:id="34" w:name="_Toc435623804"/>
      <w:r w:rsidRPr="0089285E">
        <w:rPr>
          <w:rFonts w:ascii="黑体" w:eastAsia="黑体" w:hAnsi="宋体" w:hint="eastAsia"/>
          <w:bCs/>
          <w:sz w:val="28"/>
          <w:szCs w:val="28"/>
        </w:rPr>
        <w:t>（一）专业现状与建设</w:t>
      </w:r>
      <w:bookmarkEnd w:id="33"/>
      <w:bookmarkEnd w:id="34"/>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自办学以来，以母体学校为依托、以市场为导向，突出应用型高级人才的培养定位，专业建设以学院总体发展规划为指导，全面贯彻落实科学发展观，积极主动适应社会经济发展和产业结构调整对人才需求的变化，坚持以市场需求为导向，充分合理利用现有的教育教学资源，积极开办战略性新兴产业和区域内重点产业，坚持专业建设以工科类为主的发展方向，适度发展其他门类专业，积极创办跨学科与交叉学科专业。建立专业动态调整机制，稳妥地改造市场需求面窄的传统专业，提高传统专业对社会经济发展的适应能力。形成以理工类为主体，兼有管理类、经济类、文学类、艺术类等相互交叉、协调发展的本科专业体系，使专业布局与结构合理，专业设置和人才培养模式符合社会需求，专业数量与学院办学规模相适应，特色专业优势明显，重点专业水平较高，专业内涵建设逐步深化的专业建设与发展的新格局。</w:t>
      </w:r>
    </w:p>
    <w:p w:rsidR="00683C33" w:rsidRPr="00E970CA" w:rsidRDefault="00683C33" w:rsidP="00683C33">
      <w:pPr>
        <w:spacing w:line="400" w:lineRule="exact"/>
        <w:ind w:firstLineChars="200" w:firstLine="480"/>
        <w:rPr>
          <w:rFonts w:ascii="宋体" w:cs="Arial"/>
          <w:sz w:val="24"/>
        </w:rPr>
      </w:pPr>
      <w:r w:rsidRPr="00CC7236">
        <w:rPr>
          <w:rFonts w:ascii="宋体" w:hAnsi="宋体" w:cs="Arial"/>
          <w:sz w:val="24"/>
        </w:rPr>
        <w:t>2014</w:t>
      </w:r>
      <w:r w:rsidRPr="00CC7236">
        <w:rPr>
          <w:rFonts w:ascii="宋体" w:hAnsi="宋体" w:cs="Arial" w:hint="eastAsia"/>
          <w:sz w:val="24"/>
        </w:rPr>
        <w:t>学年</w:t>
      </w:r>
      <w:r w:rsidRPr="00E970CA">
        <w:rPr>
          <w:rFonts w:ascii="宋体" w:hAnsi="宋体" w:cs="Arial" w:hint="eastAsia"/>
          <w:sz w:val="24"/>
        </w:rPr>
        <w:t>学院新增</w:t>
      </w:r>
      <w:r w:rsidR="00957EBB">
        <w:rPr>
          <w:rFonts w:ascii="宋体" w:hAnsi="宋体" w:cs="Arial" w:hint="eastAsia"/>
          <w:sz w:val="24"/>
        </w:rPr>
        <w:t>数字媒体技术</w:t>
      </w:r>
      <w:r w:rsidRPr="00E970CA">
        <w:rPr>
          <w:rFonts w:ascii="宋体" w:hAnsi="宋体" w:cs="Arial" w:hint="eastAsia"/>
          <w:sz w:val="24"/>
        </w:rPr>
        <w:t>、</w:t>
      </w:r>
      <w:r w:rsidR="00957EBB">
        <w:rPr>
          <w:rFonts w:ascii="宋体" w:hAnsi="宋体" w:cs="Arial" w:hint="eastAsia"/>
          <w:sz w:val="24"/>
        </w:rPr>
        <w:t>车辆工程</w:t>
      </w:r>
      <w:r w:rsidRPr="00E970CA">
        <w:rPr>
          <w:rFonts w:ascii="宋体" w:hAnsi="宋体" w:cs="Arial" w:hint="eastAsia"/>
          <w:sz w:val="24"/>
        </w:rPr>
        <w:t>等</w:t>
      </w:r>
      <w:r w:rsidRPr="00E970CA">
        <w:rPr>
          <w:rFonts w:ascii="宋体" w:hAnsi="宋体" w:cs="Arial"/>
          <w:sz w:val="24"/>
        </w:rPr>
        <w:t>2</w:t>
      </w:r>
      <w:r w:rsidRPr="00E970CA">
        <w:rPr>
          <w:rFonts w:ascii="宋体" w:hAnsi="宋体" w:cs="Arial" w:hint="eastAsia"/>
          <w:sz w:val="24"/>
        </w:rPr>
        <w:t>个招生专业，招生专业数达到</w:t>
      </w:r>
      <w:r w:rsidR="00CC7236">
        <w:rPr>
          <w:rFonts w:ascii="宋体" w:hAnsi="宋体" w:cs="Arial" w:hint="eastAsia"/>
          <w:sz w:val="24"/>
        </w:rPr>
        <w:t>39</w:t>
      </w:r>
      <w:r w:rsidRPr="00E970CA">
        <w:rPr>
          <w:rFonts w:ascii="宋体" w:hAnsi="宋体" w:cs="Arial" w:hint="eastAsia"/>
          <w:sz w:val="24"/>
        </w:rPr>
        <w:t>个，涵盖工学、理学、文学、管理学、经济学、艺术学等多个学科门类。</w:t>
      </w:r>
    </w:p>
    <w:p w:rsidR="00683C33" w:rsidRPr="00E970CA" w:rsidRDefault="00683C33" w:rsidP="00683C33">
      <w:pPr>
        <w:spacing w:line="400" w:lineRule="exact"/>
        <w:ind w:firstLineChars="200" w:firstLine="480"/>
        <w:rPr>
          <w:rFonts w:ascii="宋体" w:cs="Arial"/>
          <w:sz w:val="24"/>
        </w:rPr>
      </w:pPr>
      <w:r w:rsidRPr="00E970CA">
        <w:rPr>
          <w:rFonts w:ascii="宋体" w:hAnsi="宋体" w:cs="Arial" w:hint="eastAsia"/>
          <w:sz w:val="24"/>
        </w:rPr>
        <w:t>自教育部</w:t>
      </w:r>
      <w:r w:rsidR="00E60289">
        <w:rPr>
          <w:rFonts w:ascii="宋体" w:hAnsi="宋体" w:cs="Arial" w:hint="eastAsia"/>
          <w:sz w:val="24"/>
        </w:rPr>
        <w:t>、省教育厅实施“普通高等学校教学质量与教学改革工程”以来，学院</w:t>
      </w:r>
      <w:r w:rsidRPr="00E970CA">
        <w:rPr>
          <w:rFonts w:ascii="宋体" w:hAnsi="宋体" w:cs="Arial" w:hint="eastAsia"/>
          <w:sz w:val="24"/>
        </w:rPr>
        <w:t>积极开展“质量工程”项目的建设，成果显著。目前，学院已拥有省</w:t>
      </w:r>
      <w:r w:rsidR="00957EBB">
        <w:rPr>
          <w:rFonts w:ascii="宋体" w:hAnsi="宋体" w:cs="Arial" w:hint="eastAsia"/>
          <w:sz w:val="24"/>
        </w:rPr>
        <w:t>级特色</w:t>
      </w:r>
      <w:r w:rsidRPr="00E970CA">
        <w:rPr>
          <w:rFonts w:ascii="宋体" w:hAnsi="宋体" w:cs="Arial" w:hint="eastAsia"/>
          <w:sz w:val="24"/>
        </w:rPr>
        <w:t>专业</w:t>
      </w:r>
      <w:r w:rsidRPr="00E970CA">
        <w:rPr>
          <w:rFonts w:ascii="宋体" w:hAnsi="宋体" w:cs="Arial"/>
          <w:sz w:val="24"/>
        </w:rPr>
        <w:t>4</w:t>
      </w:r>
      <w:r w:rsidRPr="00E970CA">
        <w:rPr>
          <w:rFonts w:ascii="宋体" w:hAnsi="宋体" w:cs="Arial" w:hint="eastAsia"/>
          <w:sz w:val="24"/>
        </w:rPr>
        <w:t>个，</w:t>
      </w:r>
      <w:r w:rsidRPr="00E970CA">
        <w:rPr>
          <w:rFonts w:ascii="宋体" w:hAnsi="宋体" w:cs="Arial" w:hint="eastAsia"/>
          <w:sz w:val="24"/>
        </w:rPr>
        <w:lastRenderedPageBreak/>
        <w:t>重点建设专业</w:t>
      </w:r>
      <w:r w:rsidRPr="00E970CA">
        <w:rPr>
          <w:rFonts w:ascii="宋体" w:hAnsi="宋体" w:cs="Arial"/>
          <w:sz w:val="24"/>
        </w:rPr>
        <w:t>4</w:t>
      </w:r>
      <w:r w:rsidRPr="00E970CA">
        <w:rPr>
          <w:rFonts w:ascii="宋体" w:hAnsi="宋体" w:cs="Arial" w:hint="eastAsia"/>
          <w:sz w:val="24"/>
        </w:rPr>
        <w:t>个，省级精品课程</w:t>
      </w:r>
      <w:r w:rsidRPr="00E970CA">
        <w:rPr>
          <w:rFonts w:ascii="宋体" w:hAnsi="宋体" w:cs="Arial"/>
          <w:sz w:val="24"/>
        </w:rPr>
        <w:t>6</w:t>
      </w:r>
      <w:r w:rsidRPr="00E970CA">
        <w:rPr>
          <w:rFonts w:ascii="宋体" w:hAnsi="宋体" w:cs="Arial" w:hint="eastAsia"/>
          <w:sz w:val="24"/>
        </w:rPr>
        <w:t>门，省级教学团队</w:t>
      </w:r>
      <w:r w:rsidRPr="00E970CA">
        <w:rPr>
          <w:rFonts w:ascii="宋体" w:hAnsi="宋体" w:cs="Arial"/>
          <w:sz w:val="24"/>
        </w:rPr>
        <w:t>1</w:t>
      </w:r>
      <w:r w:rsidRPr="00E970CA">
        <w:rPr>
          <w:rFonts w:ascii="宋体" w:hAnsi="宋体" w:cs="Arial" w:hint="eastAsia"/>
          <w:sz w:val="24"/>
        </w:rPr>
        <w:t>个，省级实践教学示范中心建设单位</w:t>
      </w:r>
      <w:r w:rsidRPr="00E970CA">
        <w:rPr>
          <w:rFonts w:ascii="宋体" w:hAnsi="宋体" w:cs="Arial"/>
          <w:sz w:val="24"/>
        </w:rPr>
        <w:t>1</w:t>
      </w:r>
      <w:r w:rsidRPr="00E970CA">
        <w:rPr>
          <w:rFonts w:ascii="宋体" w:hAnsi="宋体" w:cs="Arial" w:hint="eastAsia"/>
          <w:sz w:val="24"/>
        </w:rPr>
        <w:t>个，省级本科高校专业综合改革试点</w:t>
      </w:r>
      <w:r w:rsidRPr="00E970CA">
        <w:rPr>
          <w:rFonts w:ascii="宋体" w:hAnsi="宋体" w:cs="Arial"/>
          <w:sz w:val="24"/>
        </w:rPr>
        <w:t>4</w:t>
      </w:r>
      <w:r w:rsidRPr="00E970CA">
        <w:rPr>
          <w:rFonts w:ascii="宋体" w:hAnsi="宋体" w:cs="Arial" w:hint="eastAsia"/>
          <w:sz w:val="24"/>
        </w:rPr>
        <w:t>个，省级人才培养模式创新实验区</w:t>
      </w:r>
      <w:r w:rsidRPr="00E970CA">
        <w:rPr>
          <w:rFonts w:ascii="宋体" w:hAnsi="宋体" w:cs="Arial"/>
          <w:sz w:val="24"/>
        </w:rPr>
        <w:t>3</w:t>
      </w:r>
      <w:r w:rsidRPr="00E970CA">
        <w:rPr>
          <w:rFonts w:ascii="宋体" w:hAnsi="宋体" w:cs="Arial" w:hint="eastAsia"/>
          <w:sz w:val="24"/>
        </w:rPr>
        <w:t>个，省级大学生校外实践教育基地建设项目</w:t>
      </w:r>
      <w:r w:rsidRPr="00E970CA">
        <w:rPr>
          <w:rFonts w:ascii="宋体" w:hAnsi="宋体" w:cs="Arial"/>
          <w:sz w:val="24"/>
        </w:rPr>
        <w:t>2</w:t>
      </w:r>
      <w:r w:rsidRPr="00E970CA">
        <w:rPr>
          <w:rFonts w:ascii="宋体" w:hAnsi="宋体" w:cs="Arial" w:hint="eastAsia"/>
          <w:sz w:val="24"/>
        </w:rPr>
        <w:t>个，获省级教学名师奖</w:t>
      </w:r>
      <w:r w:rsidRPr="00E970CA">
        <w:rPr>
          <w:rFonts w:ascii="宋体" w:hAnsi="宋体" w:cs="Arial"/>
          <w:sz w:val="24"/>
        </w:rPr>
        <w:t>3</w:t>
      </w:r>
      <w:r w:rsidRPr="00E970CA">
        <w:rPr>
          <w:rFonts w:ascii="宋体" w:hAnsi="宋体" w:cs="Arial" w:hint="eastAsia"/>
          <w:sz w:val="24"/>
        </w:rPr>
        <w:t>项；获批省级教学改革研究项目</w:t>
      </w:r>
      <w:r w:rsidRPr="00E970CA">
        <w:rPr>
          <w:rFonts w:ascii="宋体" w:hAnsi="宋体" w:cs="Arial"/>
          <w:sz w:val="24"/>
        </w:rPr>
        <w:t>2</w:t>
      </w:r>
      <w:r w:rsidRPr="00E970CA">
        <w:rPr>
          <w:rFonts w:ascii="宋体" w:hAnsi="宋体" w:cs="Arial" w:hint="eastAsia"/>
          <w:sz w:val="24"/>
        </w:rPr>
        <w:t>项；获批省级大学生创新创业训练计划项目</w:t>
      </w:r>
      <w:r w:rsidRPr="00E970CA">
        <w:rPr>
          <w:rFonts w:ascii="宋体" w:hAnsi="宋体" w:cs="Arial"/>
          <w:sz w:val="24"/>
        </w:rPr>
        <w:t>92</w:t>
      </w:r>
      <w:r w:rsidRPr="00E970CA">
        <w:rPr>
          <w:rFonts w:ascii="宋体" w:hAnsi="宋体" w:cs="Arial" w:hint="eastAsia"/>
          <w:sz w:val="24"/>
        </w:rPr>
        <w:t>项，国家级大学生创新创业训练计划项目</w:t>
      </w:r>
      <w:r w:rsidRPr="00E970CA">
        <w:rPr>
          <w:rFonts w:ascii="宋体" w:hAnsi="宋体" w:cs="Arial"/>
          <w:sz w:val="24"/>
        </w:rPr>
        <w:t>30</w:t>
      </w:r>
      <w:r w:rsidRPr="00E970CA">
        <w:rPr>
          <w:rFonts w:ascii="宋体" w:hAnsi="宋体" w:cs="Arial" w:hint="eastAsia"/>
          <w:sz w:val="24"/>
        </w:rPr>
        <w:t>项，质量工程获批项目数在独立学院中名列前茅。</w:t>
      </w:r>
    </w:p>
    <w:p w:rsidR="00683C33" w:rsidRPr="0089285E" w:rsidRDefault="00683C33" w:rsidP="0089285E">
      <w:pPr>
        <w:jc w:val="left"/>
        <w:outlineLvl w:val="1"/>
        <w:rPr>
          <w:rFonts w:ascii="黑体" w:eastAsia="黑体" w:hAnsi="宋体"/>
          <w:bCs/>
          <w:sz w:val="28"/>
          <w:szCs w:val="28"/>
        </w:rPr>
      </w:pPr>
      <w:bookmarkStart w:id="35" w:name="_Toc435622747"/>
      <w:bookmarkStart w:id="36" w:name="_Toc435623805"/>
      <w:r w:rsidRPr="0089285E">
        <w:rPr>
          <w:rFonts w:ascii="黑体" w:eastAsia="黑体" w:hAnsi="宋体" w:hint="eastAsia"/>
          <w:bCs/>
          <w:sz w:val="28"/>
          <w:szCs w:val="28"/>
        </w:rPr>
        <w:t>（二）课程建设</w:t>
      </w:r>
      <w:bookmarkEnd w:id="35"/>
      <w:bookmarkEnd w:id="36"/>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学院重视课程体系建设，强调课程体系对人才培养的基础性作用，强调课程体系的目标性、课程的整体性、课程之间的关联性和逻辑性、知识的应用性。并要求，应随着科学技术的发展，适时更新教学内容，不断完善课程体系。</w:t>
      </w:r>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根据上述课程体系的具体特征，学院各专业每学年均制定新一届学生的培养方案，对课程体系的建设重点体现以下两方面：</w:t>
      </w:r>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一是优化课程体系，通过改革课程体系和教学模式，扎实基础知识，拓宽专业知识，突出知识和技术的应用性，同时借鉴国内外先进的教育理念，结合学生特点、专业特点摸索有利于科学精神和创新能力开发的教学体系、教学方法，促进科学精神与人文素养的融合；通过课程结构和课程内容的整合，及时更新教学内容、注重课程之间的衔接及逻辑结构上的联系与融合，避免知识内容的脱节和重复，从而达到合理分布知识点，优化课程结构和提高教学效果的目的。</w:t>
      </w:r>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二是重视理论与实践相结合，通过加强和改进实践教学，将理论教学与实践教学贯穿于人才培养的各个环节，四年实践教学不断线，强化学生实践能力的训练，加强创新创业能力的培训；通过系统设置基础实践和专业实践教学，对各类实践教学环节进行整体、系统地优化设计，统筹规划，完善专业实践教学体系，从而提高学生的实际工作能力。</w:t>
      </w:r>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学院邀请企事业单位、政府机关部门具有实战经验和理论知识的“双师型”人才，为学生开设学术讲座和讲授专业课程，激发学生的学习兴趣，提高课程教学质量。</w:t>
      </w:r>
    </w:p>
    <w:p w:rsidR="00683C33" w:rsidRDefault="00683C33" w:rsidP="00683C33">
      <w:pPr>
        <w:spacing w:line="400" w:lineRule="exact"/>
        <w:ind w:firstLineChars="200" w:firstLine="480"/>
        <w:rPr>
          <w:rFonts w:ascii="Arial" w:hAnsi="Arial" w:cs="Arial"/>
          <w:sz w:val="24"/>
        </w:rPr>
      </w:pPr>
      <w:r>
        <w:rPr>
          <w:rFonts w:ascii="Arial" w:hAnsi="Arial" w:cs="Arial" w:hint="eastAsia"/>
          <w:sz w:val="24"/>
        </w:rPr>
        <w:t>学院还对院级选修课进行了改革和创新。学院的院级选修课分为工程技术类、创业管理类、文学语言类、音乐艺术类、体育健身类、文化素养类、考研辅导类等七大类，聘请高职称、高学历、教学效果好的校内外教师为学生讲授，对于促进文理渗透，拓宽学生的知识领域，改善学生的知识结构，提高学生综合素质和创业能力，增强学生的就业竞争力及社会适应能力，满足社会对应用型人才的需求，起到了很好的作用。</w:t>
      </w:r>
    </w:p>
    <w:p w:rsidR="00683C33" w:rsidRPr="0089285E" w:rsidRDefault="00683C33" w:rsidP="0089285E">
      <w:pPr>
        <w:jc w:val="left"/>
        <w:outlineLvl w:val="1"/>
        <w:rPr>
          <w:rFonts w:ascii="黑体" w:eastAsia="黑体" w:hAnsi="宋体"/>
          <w:bCs/>
          <w:sz w:val="28"/>
          <w:szCs w:val="28"/>
        </w:rPr>
      </w:pPr>
      <w:bookmarkStart w:id="37" w:name="_Toc435622748"/>
      <w:bookmarkStart w:id="38" w:name="_Toc435623806"/>
      <w:r w:rsidRPr="0089285E">
        <w:rPr>
          <w:rFonts w:ascii="黑体" w:eastAsia="黑体" w:hAnsi="宋体" w:hint="eastAsia"/>
          <w:bCs/>
          <w:sz w:val="28"/>
          <w:szCs w:val="28"/>
        </w:rPr>
        <w:t>（三）教材建设</w:t>
      </w:r>
      <w:bookmarkEnd w:id="37"/>
      <w:bookmarkEnd w:id="38"/>
    </w:p>
    <w:p w:rsidR="00683C33" w:rsidRPr="00F50F04" w:rsidRDefault="00683C33" w:rsidP="00683C33">
      <w:pPr>
        <w:spacing w:line="400" w:lineRule="exact"/>
        <w:ind w:firstLineChars="200" w:firstLine="480"/>
        <w:rPr>
          <w:rFonts w:ascii="宋体" w:cs="Arial"/>
          <w:color w:val="FF00FF"/>
          <w:sz w:val="24"/>
        </w:rPr>
      </w:pPr>
      <w:r w:rsidRPr="009701E4">
        <w:rPr>
          <w:rFonts w:ascii="宋体" w:hAnsi="宋体" w:cs="Arial" w:hint="eastAsia"/>
          <w:sz w:val="24"/>
        </w:rPr>
        <w:t>学院把教材建设和教材选用作为提高教学质量的重要环节，完善教材建设、选用和评估制度，将教材选用情况作为学院专业建设与教学改革评估考核的主要指标之一。学院要求各专业要优先选用国家规划教材、教育部“面向二十一世纪课程教材”、教育</w:t>
      </w:r>
      <w:r w:rsidRPr="009701E4">
        <w:rPr>
          <w:rFonts w:ascii="宋体" w:hAnsi="宋体" w:cs="Arial" w:hint="eastAsia"/>
          <w:sz w:val="24"/>
        </w:rPr>
        <w:lastRenderedPageBreak/>
        <w:t>部教学指导委员会推荐教材、省部级以上获奖教材、省部级重点教材以及同行公认的优秀教材，积极选用近三年出版的高质量新教材。坚持科学性、思想性、先进性、启发性和适用性的标准，实行由教师建议、各教学单位研究审批的教材选用程序，确保教材选用和更新的质量，使选用的教材符合学院应用型人才的培养目标。目前，学院的教材使用，均按上述程序要求和质量要求实行。学院还积极鼓励教师进行教材资助立项，有计划、有目的地编写或参编适合地方院校特色的国家级、省部级重点教材。</w:t>
      </w:r>
      <w:r w:rsidRPr="00E970CA">
        <w:rPr>
          <w:rFonts w:ascii="宋体" w:hAnsi="宋体" w:cs="Arial" w:hint="eastAsia"/>
          <w:sz w:val="24"/>
        </w:rPr>
        <w:t>截止到</w:t>
      </w:r>
      <w:r w:rsidRPr="00E970CA">
        <w:rPr>
          <w:rFonts w:ascii="宋体" w:hAnsi="宋体" w:cs="Arial"/>
          <w:sz w:val="24"/>
        </w:rPr>
        <w:t>2014</w:t>
      </w:r>
      <w:r w:rsidRPr="00E970CA">
        <w:rPr>
          <w:rFonts w:ascii="宋体" w:hAnsi="宋体" w:cs="Arial" w:hint="eastAsia"/>
          <w:sz w:val="24"/>
        </w:rPr>
        <w:t>年底，学院教师已编写了《概率论与数理统计》、《大学物理实验》、《商品流通企业会计自学指导》、《人力资源管理理论与实务》</w:t>
      </w:r>
      <w:r w:rsidRPr="00E970CA">
        <w:rPr>
          <w:rFonts w:ascii="宋体" w:hAnsi="宋体" w:cs="Arial"/>
          <w:sz w:val="24"/>
        </w:rPr>
        <w:t>4</w:t>
      </w:r>
      <w:r w:rsidRPr="00E970CA">
        <w:rPr>
          <w:rFonts w:ascii="宋体" w:hAnsi="宋体" w:cs="Arial" w:hint="eastAsia"/>
          <w:sz w:val="24"/>
        </w:rPr>
        <w:t>部教材，其中《概率论与数理统计》被列为“面向‘十二五’高等院校人才培养规划教材”。</w:t>
      </w:r>
      <w:r w:rsidRPr="00E970CA">
        <w:rPr>
          <w:rFonts w:ascii="宋体" w:hAnsi="宋体" w:cs="Arial"/>
          <w:sz w:val="24"/>
        </w:rPr>
        <w:t xml:space="preserve">   </w:t>
      </w:r>
      <w:r w:rsidRPr="003E474E">
        <w:rPr>
          <w:rFonts w:ascii="宋体" w:hAnsi="宋体" w:cs="Arial"/>
          <w:color w:val="0000FF"/>
          <w:sz w:val="24"/>
        </w:rPr>
        <w:t xml:space="preserve">                           </w:t>
      </w:r>
      <w:r>
        <w:rPr>
          <w:rFonts w:ascii="宋体" w:hAnsi="宋体" w:cs="Arial"/>
          <w:color w:val="FF00FF"/>
          <w:sz w:val="24"/>
        </w:rPr>
        <w:t xml:space="preserve">                                             </w:t>
      </w:r>
    </w:p>
    <w:p w:rsidR="00683C33" w:rsidRPr="0089285E" w:rsidRDefault="00683C33" w:rsidP="0089285E">
      <w:pPr>
        <w:jc w:val="left"/>
        <w:outlineLvl w:val="1"/>
        <w:rPr>
          <w:rFonts w:ascii="黑体" w:eastAsia="黑体" w:hAnsi="宋体"/>
          <w:bCs/>
          <w:sz w:val="28"/>
          <w:szCs w:val="28"/>
        </w:rPr>
      </w:pPr>
      <w:bookmarkStart w:id="39" w:name="_Toc435622749"/>
      <w:bookmarkStart w:id="40" w:name="_Toc435623807"/>
      <w:r w:rsidRPr="0089285E">
        <w:rPr>
          <w:rFonts w:ascii="黑体" w:eastAsia="黑体" w:hAnsi="宋体" w:hint="eastAsia"/>
          <w:bCs/>
          <w:sz w:val="28"/>
          <w:szCs w:val="28"/>
        </w:rPr>
        <w:t>（四）人才培养方案</w:t>
      </w:r>
      <w:bookmarkEnd w:id="39"/>
      <w:bookmarkEnd w:id="40"/>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结合社会需求及本专业的特色和优势，进一步凝练人才培养目标，明确人才培养基本要求，构建和完善以提高基础知识和专业知识为重点的理论课程体系，以提高基本技能和专业技能为重点的实践课程体系，以提高综合素质和拓展专业外延为重点的素质教育体系，创新人才培养机制，构建以科学精神和人文素养兼备应用型人才为培养目标的主体框架，不断优化人才培养方案，深化课程体系和教学内容改革。</w:t>
      </w:r>
    </w:p>
    <w:p w:rsidR="00683C33" w:rsidRPr="008B2CC7" w:rsidRDefault="00683C33" w:rsidP="008B2CC7">
      <w:pPr>
        <w:ind w:firstLineChars="200" w:firstLine="480"/>
        <w:rPr>
          <w:rFonts w:ascii="黑体" w:eastAsia="黑体" w:hAnsi="宋体" w:cs="Arial"/>
          <w:sz w:val="24"/>
        </w:rPr>
      </w:pPr>
      <w:r w:rsidRPr="008B2CC7">
        <w:rPr>
          <w:rFonts w:ascii="黑体" w:eastAsia="黑体" w:hAnsi="宋体" w:cs="Arial"/>
          <w:sz w:val="24"/>
        </w:rPr>
        <w:t>1.</w:t>
      </w:r>
      <w:r w:rsidRPr="008B2CC7">
        <w:rPr>
          <w:rFonts w:ascii="黑体" w:eastAsia="黑体" w:hAnsi="宋体" w:cs="Arial" w:hint="eastAsia"/>
          <w:sz w:val="24"/>
        </w:rPr>
        <w:t>优化整合课程体系和教学内容，突出人才培养目标针对性</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w:t>
      </w:r>
      <w:r w:rsidRPr="009701E4">
        <w:rPr>
          <w:rFonts w:ascii="宋体" w:hAnsi="宋体" w:cs="Arial"/>
          <w:sz w:val="24"/>
        </w:rPr>
        <w:t>1</w:t>
      </w:r>
      <w:r w:rsidRPr="009701E4">
        <w:rPr>
          <w:rFonts w:ascii="宋体" w:hAnsi="宋体" w:cs="Arial" w:hint="eastAsia"/>
          <w:sz w:val="24"/>
        </w:rPr>
        <w:t>）改革课程体系和教学模式。一是改革课程体系与教学计划，以知识应用为目标设置课程体系，处理好公共基础课、专业基础课、专业必修课的关系，扎实基础知识，拓宽专业知识，突出知识和技术的应用性；二是改革教学方法，充分借鉴国内外先进的教育理念，结合学生特点、专业特点摸索有利于科学精神和创新能力开发的教学体系、教学方法，专业课程教学挖掘其中文化素质教育内容，注意科学精神与人文素养的融合。</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w:t>
      </w:r>
      <w:r w:rsidRPr="009701E4">
        <w:rPr>
          <w:rFonts w:ascii="宋体" w:hAnsi="宋体" w:cs="Arial"/>
          <w:sz w:val="24"/>
        </w:rPr>
        <w:t>2</w:t>
      </w:r>
      <w:r w:rsidRPr="009701E4">
        <w:rPr>
          <w:rFonts w:ascii="宋体" w:hAnsi="宋体" w:cs="Arial" w:hint="eastAsia"/>
          <w:sz w:val="24"/>
        </w:rPr>
        <w:t>）加强课程结构和内容整合。根据人才培养目标及社会对人才的需求，整合课程结构、更新教学内容、注重课程衔接（先修后续），加强课程之间逻辑结构上的联系与融合，避免知识内容的脱节和重复，最终达到合理分布知识点，优化课程结构和提高教学效果的目的，同时，合理安排课学数，使学生在校期间学习负荷均衡。</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w:t>
      </w:r>
      <w:r w:rsidRPr="009701E4">
        <w:rPr>
          <w:rFonts w:ascii="宋体" w:hAnsi="宋体" w:cs="Arial"/>
          <w:sz w:val="24"/>
        </w:rPr>
        <w:t>3</w:t>
      </w:r>
      <w:r w:rsidRPr="009701E4">
        <w:rPr>
          <w:rFonts w:ascii="宋体" w:hAnsi="宋体" w:cs="Arial" w:hint="eastAsia"/>
          <w:sz w:val="24"/>
        </w:rPr>
        <w:t>）实施产学结合培养模式。产学结合是培养应用型高级人才的有效途径。培养方案的制定和实施过程主动争取企事业单位参与，充分利用社会资源，在充分研究和论证的基础上，使培养方案既符合教育教学规律，又能体现企事业单位的实际需要。</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(4)</w:t>
      </w:r>
      <w:r w:rsidRPr="009701E4">
        <w:rPr>
          <w:rFonts w:ascii="宋体" w:hAnsi="宋体" w:cs="Arial" w:hint="eastAsia"/>
          <w:sz w:val="24"/>
        </w:rPr>
        <w:t>加强人才培养的交流合作。不断加大与国（境）外高水平大学合作培养人才的力度，制订切实可行的人才培养方案，引入学分互认机制，积极探索共同培养高素质创新创业人才的有效途径。</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(5)</w:t>
      </w:r>
      <w:r w:rsidR="00285209">
        <w:rPr>
          <w:rFonts w:ascii="宋体" w:hAnsi="宋体" w:cs="Arial" w:hint="eastAsia"/>
          <w:sz w:val="24"/>
        </w:rPr>
        <w:t>探索多样化人才培养模式。开设跨学科选修课程、职业资格课程</w:t>
      </w:r>
      <w:r w:rsidRPr="009701E4">
        <w:rPr>
          <w:rFonts w:ascii="宋体" w:hAnsi="宋体" w:cs="Arial" w:hint="eastAsia"/>
          <w:sz w:val="24"/>
        </w:rPr>
        <w:t>及各类论坛等，构建适应学生个性发展、就业创业需要，符合人才培养目标和培养规格的课程体系。</w:t>
      </w:r>
    </w:p>
    <w:p w:rsidR="00683C33" w:rsidRPr="006D5617" w:rsidRDefault="00683C33" w:rsidP="00683C33">
      <w:pPr>
        <w:ind w:firstLineChars="200" w:firstLine="480"/>
        <w:rPr>
          <w:rFonts w:ascii="黑体" w:eastAsia="黑体" w:hAnsi="宋体" w:cs="Arial"/>
          <w:sz w:val="24"/>
        </w:rPr>
      </w:pPr>
      <w:r w:rsidRPr="006D5617">
        <w:rPr>
          <w:rFonts w:ascii="黑体" w:eastAsia="黑体" w:hAnsi="宋体" w:cs="Arial"/>
          <w:sz w:val="24"/>
        </w:rPr>
        <w:lastRenderedPageBreak/>
        <w:t>2.</w:t>
      </w:r>
      <w:r w:rsidRPr="006D5617">
        <w:rPr>
          <w:rFonts w:ascii="黑体" w:eastAsia="黑体" w:hAnsi="宋体" w:cs="Arial" w:hint="eastAsia"/>
          <w:sz w:val="24"/>
        </w:rPr>
        <w:t>加强实践训练，提高实际工作能力培养</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(1)</w:t>
      </w:r>
      <w:r w:rsidRPr="009701E4">
        <w:rPr>
          <w:rFonts w:ascii="宋体" w:hAnsi="宋体" w:cs="Arial" w:hint="eastAsia"/>
          <w:sz w:val="24"/>
        </w:rPr>
        <w:t>重视理论与实践相结合，加强和改进实践教学，将理论教学与实践教学贯穿于人才培养的各个环节，四年实践教学不断线，强化学生实践能力的训练，加强创新创业能力的培训。</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(2)</w:t>
      </w:r>
      <w:r w:rsidRPr="009701E4">
        <w:rPr>
          <w:rFonts w:ascii="宋体" w:hAnsi="宋体" w:cs="Arial" w:hint="eastAsia"/>
          <w:sz w:val="24"/>
        </w:rPr>
        <w:t>系统设置基础实践和专业实践教学，对上机、实验、实习、“两课”教学实践、课程设计、毕业设计等教学环节进行整体、系统地优化设计，统筹规划，完善专业实践教学体系。</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(3)</w:t>
      </w:r>
      <w:r w:rsidRPr="009701E4">
        <w:rPr>
          <w:rFonts w:ascii="宋体" w:hAnsi="宋体" w:cs="Arial" w:hint="eastAsia"/>
          <w:sz w:val="24"/>
        </w:rPr>
        <w:t>注重强化基础实验教学和工程基本实践的训练，加大专业实践教学创新改革的力度。</w:t>
      </w:r>
    </w:p>
    <w:p w:rsidR="00683C33" w:rsidRPr="009701E4" w:rsidRDefault="0086746D" w:rsidP="00683C33">
      <w:pPr>
        <w:spacing w:line="400" w:lineRule="exact"/>
        <w:ind w:firstLineChars="200" w:firstLine="480"/>
        <w:rPr>
          <w:rFonts w:ascii="宋体" w:cs="Arial"/>
          <w:sz w:val="24"/>
        </w:rPr>
      </w:pPr>
      <w:r w:rsidRPr="009701E4">
        <w:rPr>
          <w:rFonts w:ascii="宋体" w:hAnsi="宋体" w:cs="Arial"/>
          <w:sz w:val="24"/>
        </w:rPr>
        <w:fldChar w:fldCharType="begin"/>
      </w:r>
      <w:r w:rsidR="00683C33" w:rsidRPr="009701E4">
        <w:rPr>
          <w:rFonts w:ascii="宋体" w:hAnsi="宋体" w:cs="Arial"/>
          <w:sz w:val="24"/>
        </w:rPr>
        <w:instrText>= 1 \* GB3</w:instrText>
      </w:r>
      <w:r w:rsidRPr="009701E4">
        <w:rPr>
          <w:rFonts w:ascii="宋体" w:hAnsi="宋体" w:cs="Arial"/>
          <w:sz w:val="24"/>
        </w:rPr>
        <w:fldChar w:fldCharType="separate"/>
      </w:r>
      <w:r w:rsidR="00683C33" w:rsidRPr="009701E4">
        <w:rPr>
          <w:rFonts w:ascii="宋体" w:hAnsi="宋体" w:cs="Arial" w:hint="eastAsia"/>
          <w:sz w:val="24"/>
        </w:rPr>
        <w:t>①</w:t>
      </w:r>
      <w:r w:rsidRPr="009701E4">
        <w:rPr>
          <w:rFonts w:ascii="宋体" w:hAnsi="宋体" w:cs="Arial"/>
          <w:sz w:val="24"/>
        </w:rPr>
        <w:fldChar w:fldCharType="end"/>
      </w:r>
      <w:r w:rsidR="00683C33" w:rsidRPr="009701E4">
        <w:rPr>
          <w:rFonts w:ascii="宋体" w:hAnsi="宋体" w:cs="Arial" w:hint="eastAsia"/>
          <w:sz w:val="24"/>
        </w:rPr>
        <w:t>加大设计类课程在理工教育中的教学力度，增加综合性、设计性实践比例；</w:t>
      </w:r>
    </w:p>
    <w:p w:rsidR="00683C33" w:rsidRPr="009701E4" w:rsidRDefault="0086746D" w:rsidP="00683C33">
      <w:pPr>
        <w:spacing w:line="400" w:lineRule="exact"/>
        <w:ind w:firstLineChars="200" w:firstLine="480"/>
        <w:rPr>
          <w:rFonts w:ascii="宋体" w:cs="Arial"/>
          <w:sz w:val="24"/>
        </w:rPr>
      </w:pPr>
      <w:r w:rsidRPr="009701E4">
        <w:rPr>
          <w:rFonts w:ascii="宋体" w:hAnsi="宋体" w:cs="Arial"/>
          <w:sz w:val="24"/>
        </w:rPr>
        <w:fldChar w:fldCharType="begin"/>
      </w:r>
      <w:r w:rsidR="00683C33" w:rsidRPr="009701E4">
        <w:rPr>
          <w:rFonts w:ascii="宋体" w:hAnsi="宋体" w:cs="Arial"/>
          <w:sz w:val="24"/>
        </w:rPr>
        <w:instrText>= 2 \* GB3</w:instrText>
      </w:r>
      <w:r w:rsidRPr="009701E4">
        <w:rPr>
          <w:rFonts w:ascii="宋体" w:hAnsi="宋体" w:cs="Arial"/>
          <w:sz w:val="24"/>
        </w:rPr>
        <w:fldChar w:fldCharType="separate"/>
      </w:r>
      <w:r w:rsidR="00683C33" w:rsidRPr="009701E4">
        <w:rPr>
          <w:rFonts w:ascii="宋体" w:hAnsi="宋体" w:cs="Arial" w:hint="eastAsia"/>
          <w:sz w:val="24"/>
        </w:rPr>
        <w:t>②</w:t>
      </w:r>
      <w:r w:rsidRPr="009701E4">
        <w:rPr>
          <w:rFonts w:ascii="宋体" w:hAnsi="宋体" w:cs="Arial"/>
          <w:sz w:val="24"/>
        </w:rPr>
        <w:fldChar w:fldCharType="end"/>
      </w:r>
      <w:r w:rsidR="00683C33" w:rsidRPr="009701E4">
        <w:rPr>
          <w:rFonts w:ascii="宋体" w:hAnsi="宋体" w:cs="Arial" w:hint="eastAsia"/>
          <w:sz w:val="24"/>
        </w:rPr>
        <w:t>加强实习环节，加强校内外实践基地建设；</w:t>
      </w:r>
    </w:p>
    <w:p w:rsidR="00683C33" w:rsidRPr="009701E4" w:rsidRDefault="0086746D" w:rsidP="00683C33">
      <w:pPr>
        <w:spacing w:line="400" w:lineRule="exact"/>
        <w:ind w:firstLineChars="200" w:firstLine="480"/>
        <w:rPr>
          <w:rFonts w:ascii="宋体" w:cs="Arial"/>
          <w:sz w:val="24"/>
        </w:rPr>
      </w:pPr>
      <w:r w:rsidRPr="009701E4">
        <w:rPr>
          <w:rFonts w:ascii="宋体" w:hAnsi="宋体" w:cs="Arial"/>
          <w:sz w:val="24"/>
        </w:rPr>
        <w:fldChar w:fldCharType="begin"/>
      </w:r>
      <w:r w:rsidR="00683C33" w:rsidRPr="009701E4">
        <w:rPr>
          <w:rFonts w:ascii="宋体" w:hAnsi="宋体" w:cs="Arial"/>
          <w:sz w:val="24"/>
        </w:rPr>
        <w:instrText>= 3 \* GB3</w:instrText>
      </w:r>
      <w:r w:rsidRPr="009701E4">
        <w:rPr>
          <w:rFonts w:ascii="宋体" w:hAnsi="宋体" w:cs="Arial"/>
          <w:sz w:val="24"/>
        </w:rPr>
        <w:fldChar w:fldCharType="separate"/>
      </w:r>
      <w:r w:rsidR="00683C33" w:rsidRPr="009701E4">
        <w:rPr>
          <w:rFonts w:ascii="宋体" w:hAnsi="宋体" w:cs="Arial" w:hint="eastAsia"/>
          <w:sz w:val="24"/>
        </w:rPr>
        <w:t>③</w:t>
      </w:r>
      <w:r w:rsidRPr="009701E4">
        <w:rPr>
          <w:rFonts w:ascii="宋体" w:hAnsi="宋体" w:cs="Arial"/>
          <w:sz w:val="24"/>
        </w:rPr>
        <w:fldChar w:fldCharType="end"/>
      </w:r>
      <w:r w:rsidR="00683C33" w:rsidRPr="009701E4">
        <w:rPr>
          <w:rFonts w:ascii="宋体" w:hAnsi="宋体" w:cs="Arial" w:hint="eastAsia"/>
          <w:sz w:val="24"/>
        </w:rPr>
        <w:t>理工类专业应提高工程实践能力的培养，文科经管类专业应加强社会实践和社会调查能力的培养。</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(4)</w:t>
      </w:r>
      <w:r w:rsidRPr="009701E4">
        <w:rPr>
          <w:rFonts w:ascii="宋体" w:hAnsi="宋体" w:cs="Arial" w:hint="eastAsia"/>
          <w:sz w:val="24"/>
        </w:rPr>
        <w:t>制定明确的专业技能指标体系。把基础理论学习、专业技能训练和职业道德的培养结合起来，缩短从学习到应用专业知识从事实际工作的过渡期，建立起学校同就业市场衔接的机制。</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(5)</w:t>
      </w:r>
      <w:r w:rsidRPr="009701E4">
        <w:rPr>
          <w:rFonts w:ascii="宋体" w:hAnsi="宋体" w:cs="Arial" w:hint="eastAsia"/>
          <w:sz w:val="24"/>
        </w:rPr>
        <w:t>加强学生创新创业教育，支持学生开展创新性实验、创业计划和创业模拟活动。</w:t>
      </w:r>
    </w:p>
    <w:p w:rsidR="00683C33" w:rsidRPr="006D5617" w:rsidRDefault="00683C33" w:rsidP="00683C33">
      <w:pPr>
        <w:ind w:firstLineChars="200" w:firstLine="480"/>
        <w:rPr>
          <w:rFonts w:ascii="黑体" w:eastAsia="黑体" w:hAnsi="宋体" w:cs="Arial"/>
          <w:sz w:val="24"/>
        </w:rPr>
      </w:pPr>
      <w:r w:rsidRPr="006D5617">
        <w:rPr>
          <w:rFonts w:ascii="黑体" w:eastAsia="黑体" w:hAnsi="宋体" w:cs="Arial"/>
          <w:sz w:val="24"/>
        </w:rPr>
        <w:t>3.</w:t>
      </w:r>
      <w:r w:rsidRPr="006D5617">
        <w:rPr>
          <w:rFonts w:ascii="黑体" w:eastAsia="黑体" w:hAnsi="宋体" w:cs="Arial" w:hint="eastAsia"/>
          <w:sz w:val="24"/>
        </w:rPr>
        <w:t>强化素质教育，建立综合素质培养体系</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(1)</w:t>
      </w:r>
      <w:r w:rsidRPr="009701E4">
        <w:rPr>
          <w:rFonts w:ascii="宋体" w:hAnsi="宋体" w:cs="Arial" w:hint="eastAsia"/>
          <w:sz w:val="24"/>
        </w:rPr>
        <w:t>把科学精神和人文素养引入到课堂教学中来，形成知识、能力、精神、素质四维结构的新人才培养模式，科学辨证地处理好知识与技能、专业教育与素质教育之间的关系。</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(2)</w:t>
      </w:r>
      <w:r w:rsidRPr="009701E4">
        <w:rPr>
          <w:rFonts w:ascii="宋体" w:hAnsi="宋体" w:cs="Arial" w:hint="eastAsia"/>
          <w:sz w:val="24"/>
        </w:rPr>
        <w:t>加强综合素质教育，培养求真务实、开拓创</w:t>
      </w:r>
      <w:r w:rsidR="000526F1">
        <w:rPr>
          <w:rFonts w:ascii="宋体" w:hAnsi="宋体" w:cs="Arial" w:hint="eastAsia"/>
          <w:sz w:val="24"/>
        </w:rPr>
        <w:t>新、语言文明、行为文雅、诚实守信、学习勤奋，知识渊博的“全人”。</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(3)</w:t>
      </w:r>
      <w:r w:rsidRPr="009701E4">
        <w:rPr>
          <w:rFonts w:ascii="宋体" w:hAnsi="宋体" w:cs="Arial" w:hint="eastAsia"/>
          <w:sz w:val="24"/>
        </w:rPr>
        <w:t>充分利用第二课堂，并通过实施学生学分奖励管理办法，将学生的课外科技活动、社会实践活动、专业技能证书等纳入培养方案，建立与培养方案相应类别课程对接机制，并进行系统规划和管理。</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(4)</w:t>
      </w:r>
      <w:r w:rsidRPr="009701E4">
        <w:rPr>
          <w:rFonts w:ascii="宋体" w:hAnsi="宋体" w:cs="Arial" w:hint="eastAsia"/>
          <w:sz w:val="24"/>
        </w:rPr>
        <w:t>要求科技教育与人文教育融合，鼓励理工类学生修读人文科学类选修课，文科经管类学生修读自然科学类选修课。</w:t>
      </w:r>
    </w:p>
    <w:p w:rsidR="00683C33" w:rsidRPr="0089285E" w:rsidRDefault="00683C33" w:rsidP="0089285E">
      <w:pPr>
        <w:jc w:val="left"/>
        <w:outlineLvl w:val="1"/>
        <w:rPr>
          <w:rFonts w:ascii="黑体" w:eastAsia="黑体" w:hAnsi="宋体"/>
          <w:bCs/>
          <w:sz w:val="28"/>
          <w:szCs w:val="28"/>
        </w:rPr>
      </w:pPr>
      <w:bookmarkStart w:id="41" w:name="_Toc435622750"/>
      <w:bookmarkStart w:id="42" w:name="_Toc435623808"/>
      <w:r w:rsidRPr="0089285E">
        <w:rPr>
          <w:rFonts w:ascii="黑体" w:eastAsia="黑体" w:hAnsi="宋体" w:hint="eastAsia"/>
          <w:bCs/>
          <w:sz w:val="28"/>
          <w:szCs w:val="28"/>
        </w:rPr>
        <w:t>（五）实践教学</w:t>
      </w:r>
      <w:bookmarkEnd w:id="41"/>
      <w:bookmarkEnd w:id="42"/>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坚持理论教学与实践教学相结合，重视实践教学在人才培养中的地位和作用，构建了科学合理、符合人才培养目标的实践教学体系，实验项目齐全，实践教学管理规章制度健全，实习实训条件有保证，措施完善，实践教学效果好。</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学院重视实践教学内容与体系的设计和完善，实践教学实现课内与课外紧密结合，贯穿人才培养的全过程。各专业实践教学体系主要由实验教学和实习教学两个部分组</w:t>
      </w:r>
      <w:r w:rsidRPr="009701E4">
        <w:rPr>
          <w:rFonts w:ascii="宋体" w:hAnsi="宋体" w:cs="Arial" w:hint="eastAsia"/>
          <w:sz w:val="24"/>
        </w:rPr>
        <w:lastRenderedPageBreak/>
        <w:t>成。实验教学（含课程配套实验和独立开课实验）包括课程实验、课程实习（实训）和课程设计。实习教学包括认识实习、专业（生产）实习、毕业实习、社会实践、专题研究和毕业设计（论文）。</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在共享母体学校实验实训资源的同时，大力加强自身实验实训环境条件的建设，打造具有至诚特色的集实践、创新、科研为一体的实践性综合平台。目前，学院建有第一实验实训中心，第二实验实训中心，艺术实训中心，第三实验实训中心在拟建中，总建筑面积</w:t>
      </w:r>
      <w:r w:rsidRPr="009701E4">
        <w:rPr>
          <w:rFonts w:ascii="宋体" w:hAnsi="宋体" w:cs="Arial"/>
          <w:sz w:val="24"/>
        </w:rPr>
        <w:t>22212 m</w:t>
      </w:r>
      <w:r w:rsidRPr="009701E4">
        <w:rPr>
          <w:rFonts w:ascii="宋体" w:hAnsi="宋体" w:cs="Arial"/>
          <w:sz w:val="24"/>
          <w:vertAlign w:val="superscript"/>
        </w:rPr>
        <w:t>2</w:t>
      </w:r>
      <w:r w:rsidRPr="009701E4">
        <w:rPr>
          <w:rFonts w:ascii="宋体" w:hAnsi="宋体" w:cs="Arial" w:hint="eastAsia"/>
          <w:sz w:val="24"/>
        </w:rPr>
        <w:t>。</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为了优化实验资源，每个实验实训中心，建有大公共实验平台、小公共实验平台和专业实验平台。</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第一实验实训中心内，建有计算机基础实验室、语言实验室、大学物理实验室、数字电路实验室、模拟电路实验室、创新实验室、电气工程实践实验室、单片机实验室、</w:t>
      </w:r>
      <w:r w:rsidRPr="009701E4">
        <w:rPr>
          <w:rFonts w:ascii="宋体" w:hAnsi="宋体" w:cs="Arial"/>
          <w:sz w:val="24"/>
        </w:rPr>
        <w:t>EDA</w:t>
      </w:r>
      <w:r w:rsidRPr="009701E4">
        <w:rPr>
          <w:rFonts w:ascii="宋体" w:hAnsi="宋体" w:cs="Arial" w:hint="eastAsia"/>
          <w:sz w:val="24"/>
        </w:rPr>
        <w:t>实验室和电路基础实验室等大、小公共实验平台；建有与中国惠普共建的动漫实验室</w:t>
      </w:r>
      <w:r w:rsidRPr="009701E4">
        <w:rPr>
          <w:rFonts w:ascii="宋体" w:hAnsi="宋体" w:cs="Arial"/>
          <w:sz w:val="24"/>
        </w:rPr>
        <w:t>1</w:t>
      </w:r>
      <w:r w:rsidRPr="009701E4">
        <w:rPr>
          <w:rFonts w:ascii="宋体" w:hAnsi="宋体" w:cs="Arial" w:hint="eastAsia"/>
          <w:sz w:val="24"/>
        </w:rPr>
        <w:t>个，与</w:t>
      </w:r>
      <w:r w:rsidRPr="009701E4">
        <w:rPr>
          <w:rFonts w:ascii="宋体" w:hAnsi="宋体" w:cs="Arial"/>
          <w:sz w:val="24"/>
        </w:rPr>
        <w:t>H3C</w:t>
      </w:r>
      <w:r w:rsidRPr="009701E4">
        <w:rPr>
          <w:rFonts w:ascii="宋体" w:hAnsi="宋体" w:cs="Arial" w:hint="eastAsia"/>
          <w:sz w:val="24"/>
        </w:rPr>
        <w:t>共建的网络工程实验室</w:t>
      </w:r>
      <w:r w:rsidRPr="009701E4">
        <w:rPr>
          <w:rFonts w:ascii="宋体" w:hAnsi="宋体" w:cs="Arial"/>
          <w:sz w:val="24"/>
        </w:rPr>
        <w:t>1</w:t>
      </w:r>
      <w:r w:rsidRPr="009701E4">
        <w:rPr>
          <w:rFonts w:ascii="宋体" w:hAnsi="宋体" w:cs="Arial" w:hint="eastAsia"/>
          <w:sz w:val="24"/>
        </w:rPr>
        <w:t>个，与中国电信共建的网络中心、数据中心各</w:t>
      </w:r>
      <w:r w:rsidRPr="009701E4">
        <w:rPr>
          <w:rFonts w:ascii="宋体" w:hAnsi="宋体" w:cs="Arial"/>
          <w:sz w:val="24"/>
        </w:rPr>
        <w:t>1</w:t>
      </w:r>
      <w:r w:rsidRPr="009701E4">
        <w:rPr>
          <w:rFonts w:ascii="宋体" w:hAnsi="宋体" w:cs="Arial" w:hint="eastAsia"/>
          <w:sz w:val="24"/>
        </w:rPr>
        <w:t>个；还建有电气工程、通信工程、计算机工程、经济管理类、信息工程综合设计实验室、信息工程科研与创新实验室、信息工程综合基础实验室、政府管理综合实验室、物流管理模拟实验室、二维动画实验室、语言专业类实验室。第二实验实训中心内，建有无机化学实验室、有机化学实验室、分析化学实验室、物理化学实验室、化工原理实验室、生物基础实验室等小公共实验平台；还建有化学工程与工艺专业实验室、应用化学专业实验室、过程装备与控制专业实验室、材料化学专业实验室、环境工程专业实验室等专业实验室。第三实验实训中心，作为土木工程专业实验室。此外，建筑学实验室也在筹划中。（注：上述某些专业实验室在拟建中。）</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sz w:val="24"/>
        </w:rPr>
        <w:t>2014</w:t>
      </w:r>
      <w:r w:rsidRPr="009701E4">
        <w:rPr>
          <w:rFonts w:ascii="宋体" w:hAnsi="宋体" w:cs="Arial" w:hint="eastAsia"/>
          <w:sz w:val="24"/>
        </w:rPr>
        <w:t>学年学院不断充实第一、第二实验实训中心、艺术实训中心、第三实训中心和“福建省</w:t>
      </w:r>
      <w:r w:rsidRPr="009701E4">
        <w:rPr>
          <w:rFonts w:ascii="宋体" w:hAnsi="宋体" w:cs="Arial"/>
          <w:sz w:val="24"/>
        </w:rPr>
        <w:t>‘</w:t>
      </w:r>
      <w:r w:rsidRPr="009701E4">
        <w:rPr>
          <w:rFonts w:ascii="宋体" w:hAnsi="宋体" w:cs="Arial" w:hint="eastAsia"/>
          <w:sz w:val="24"/>
        </w:rPr>
        <w:t>十二五’高等学校实验教学示范中心”</w:t>
      </w:r>
      <w:r w:rsidRPr="009701E4">
        <w:rPr>
          <w:rFonts w:ascii="宋体" w:hAnsi="宋体" w:cs="Arial"/>
          <w:sz w:val="24"/>
        </w:rPr>
        <w:t xml:space="preserve">—— </w:t>
      </w:r>
      <w:r w:rsidRPr="009701E4">
        <w:rPr>
          <w:rFonts w:ascii="宋体" w:hAnsi="宋体" w:cs="Arial" w:hint="eastAsia"/>
          <w:sz w:val="24"/>
        </w:rPr>
        <w:t>计算机工程实验中心建设项目等的实验室建设。</w:t>
      </w:r>
    </w:p>
    <w:p w:rsidR="00683C33" w:rsidRPr="00E970CA" w:rsidRDefault="00683C33" w:rsidP="00683C33">
      <w:pPr>
        <w:spacing w:line="400" w:lineRule="exact"/>
        <w:ind w:firstLineChars="200" w:firstLine="480"/>
        <w:rPr>
          <w:rFonts w:ascii="宋体" w:cs="Arial"/>
          <w:sz w:val="24"/>
        </w:rPr>
      </w:pPr>
      <w:r w:rsidRPr="009701E4">
        <w:rPr>
          <w:rFonts w:ascii="宋体" w:hAnsi="宋体" w:cs="Arial" w:hint="eastAsia"/>
          <w:sz w:val="24"/>
        </w:rPr>
        <w:t>学院通过资源整合，与有关企事业单位共建实验室、实习实训基地等，进一步推动了学院办学集成创新。先后与中国惠普共建动漫实验室，与</w:t>
      </w:r>
      <w:r w:rsidRPr="009701E4">
        <w:rPr>
          <w:rFonts w:ascii="宋体" w:hAnsi="宋体" w:cs="Arial"/>
          <w:sz w:val="24"/>
        </w:rPr>
        <w:t>H3C</w:t>
      </w:r>
      <w:r w:rsidRPr="009701E4">
        <w:rPr>
          <w:rFonts w:ascii="宋体" w:hAnsi="宋体" w:cs="Arial" w:hint="eastAsia"/>
          <w:sz w:val="24"/>
        </w:rPr>
        <w:t>共建网络工程实验室，与中国电信共建了网络中心、数据中心以及校园广播、平安校园、校园一卡通等“数字至诚”项目，与财政部经济科学出版社共建图书馆，与科威技术发展有限公司共建了现代办公设备实验室，实现社会资源与学院资源优势互补和资源共享，与紫荆动漫游戏股份有限公司共建图形图像设计实验室；</w:t>
      </w:r>
      <w:r w:rsidRPr="00E970CA">
        <w:rPr>
          <w:rFonts w:ascii="宋体" w:hAnsi="宋体" w:cs="Arial"/>
          <w:sz w:val="24"/>
        </w:rPr>
        <w:t>2014</w:t>
      </w:r>
      <w:r w:rsidRPr="00E970CA">
        <w:rPr>
          <w:rFonts w:ascii="宋体" w:hAnsi="宋体" w:cs="Arial" w:hint="eastAsia"/>
          <w:sz w:val="24"/>
        </w:rPr>
        <w:t>年学院还新增了福建省红庙岭垃圾焚烧发电厂、福建省邮电规划设计院等</w:t>
      </w:r>
      <w:r w:rsidRPr="00E970CA">
        <w:rPr>
          <w:rFonts w:ascii="宋体" w:hAnsi="宋体" w:cs="Arial"/>
          <w:sz w:val="24"/>
        </w:rPr>
        <w:t>24</w:t>
      </w:r>
      <w:r w:rsidRPr="00E970CA">
        <w:rPr>
          <w:rFonts w:ascii="宋体" w:hAnsi="宋体" w:cs="Arial" w:hint="eastAsia"/>
          <w:sz w:val="24"/>
        </w:rPr>
        <w:t>个学生实习实训基地，使学院学生实习实训基地总数达</w:t>
      </w:r>
      <w:r w:rsidRPr="00E970CA">
        <w:rPr>
          <w:rFonts w:ascii="宋体" w:hAnsi="宋体" w:cs="Arial"/>
          <w:sz w:val="24"/>
        </w:rPr>
        <w:t>329</w:t>
      </w:r>
      <w:r w:rsidRPr="00E970CA">
        <w:rPr>
          <w:rFonts w:ascii="宋体" w:hAnsi="宋体" w:cs="Arial" w:hint="eastAsia"/>
          <w:sz w:val="24"/>
        </w:rPr>
        <w:t>个。</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w:t>
      </w:r>
      <w:bookmarkStart w:id="43" w:name="baidusnap0"/>
      <w:bookmarkEnd w:id="43"/>
      <w:r w:rsidRPr="009701E4">
        <w:rPr>
          <w:rFonts w:ascii="宋体" w:hAnsi="宋体" w:cs="Arial" w:hint="eastAsia"/>
          <w:sz w:val="24"/>
        </w:rPr>
        <w:t>与驻闽陆、海、空部队共建，提高军训、军事理论、国防教育教学水平；与福州市建委、规划局、执法局共建，完善“花园式”校园建设；与福州市鼓楼区洪山</w:t>
      </w:r>
      <w:r w:rsidRPr="009701E4">
        <w:rPr>
          <w:rFonts w:ascii="宋体" w:hAnsi="宋体" w:cs="Arial" w:hint="eastAsia"/>
          <w:sz w:val="24"/>
        </w:rPr>
        <w:lastRenderedPageBreak/>
        <w:t>镇人民政府合作共建，创新性地将学生实习实践集中进行集中管理，实现学生实习实训工作的系统化、常态化。</w:t>
      </w:r>
    </w:p>
    <w:p w:rsidR="00683C33" w:rsidRPr="004A6C55" w:rsidRDefault="00683C33" w:rsidP="0089285E">
      <w:pPr>
        <w:jc w:val="left"/>
        <w:outlineLvl w:val="0"/>
        <w:rPr>
          <w:rFonts w:ascii="黑体" w:eastAsia="黑体"/>
          <w:bCs/>
          <w:kern w:val="44"/>
          <w:sz w:val="30"/>
          <w:szCs w:val="30"/>
        </w:rPr>
      </w:pPr>
      <w:bookmarkStart w:id="44" w:name="_Toc435622751"/>
      <w:bookmarkStart w:id="45" w:name="_Toc435623809"/>
      <w:r w:rsidRPr="004A6C55">
        <w:rPr>
          <w:rFonts w:ascii="黑体" w:eastAsia="黑体" w:hint="eastAsia"/>
          <w:bCs/>
          <w:kern w:val="44"/>
          <w:sz w:val="30"/>
          <w:szCs w:val="30"/>
        </w:rPr>
        <w:t>四、</w:t>
      </w:r>
      <w:r>
        <w:rPr>
          <w:rFonts w:ascii="黑体" w:eastAsia="黑体"/>
          <w:bCs/>
          <w:kern w:val="44"/>
          <w:sz w:val="30"/>
          <w:szCs w:val="30"/>
        </w:rPr>
        <w:t xml:space="preserve"> </w:t>
      </w:r>
      <w:r w:rsidRPr="004A6C55">
        <w:rPr>
          <w:rFonts w:ascii="黑体" w:eastAsia="黑体" w:hint="eastAsia"/>
          <w:bCs/>
          <w:kern w:val="44"/>
          <w:sz w:val="30"/>
          <w:szCs w:val="30"/>
        </w:rPr>
        <w:t>质量保障体系</w:t>
      </w:r>
      <w:bookmarkEnd w:id="44"/>
      <w:bookmarkEnd w:id="45"/>
    </w:p>
    <w:p w:rsidR="00683C33" w:rsidRPr="0089285E" w:rsidRDefault="00683C33" w:rsidP="0089285E">
      <w:pPr>
        <w:jc w:val="left"/>
        <w:outlineLvl w:val="1"/>
        <w:rPr>
          <w:rFonts w:ascii="黑体" w:eastAsia="黑体" w:hAnsi="宋体"/>
          <w:bCs/>
          <w:sz w:val="28"/>
          <w:szCs w:val="28"/>
        </w:rPr>
      </w:pPr>
      <w:bookmarkStart w:id="46" w:name="_Toc435622752"/>
      <w:bookmarkStart w:id="47" w:name="_Toc435623810"/>
      <w:r w:rsidRPr="0089285E">
        <w:rPr>
          <w:rFonts w:ascii="黑体" w:eastAsia="黑体" w:hAnsi="宋体" w:hint="eastAsia"/>
          <w:bCs/>
          <w:sz w:val="28"/>
          <w:szCs w:val="28"/>
        </w:rPr>
        <w:t>（一）健全教学管理规章制度</w:t>
      </w:r>
      <w:bookmarkEnd w:id="46"/>
      <w:bookmarkEnd w:id="47"/>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根据高等教育的发展和自身的实际需要，不断完善各项教学管理规章制度。从教学计划管理、教学运行管理、教学质量管理、教学基本建设管理、教学改革与研究等方面进行修订完善，形成健全的教学管理规章制度</w:t>
      </w:r>
      <w:r w:rsidRPr="009701E4">
        <w:rPr>
          <w:rFonts w:ascii="宋体" w:cs="Arial"/>
          <w:sz w:val="24"/>
        </w:rPr>
        <w:t>,</w:t>
      </w:r>
      <w:r w:rsidRPr="009701E4">
        <w:rPr>
          <w:rFonts w:ascii="宋体" w:hAnsi="宋体" w:cs="Arial" w:hint="eastAsia"/>
          <w:sz w:val="24"/>
        </w:rPr>
        <w:t>为教学管理的规范化提供了强有力的制度保障。</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学院的教学管理规章制度有：《福州大学至诚学院本科生实习工作管理办法》、《福州大学至诚学院本科生毕业设计（论文）工作管理办法》、《福州大学至诚学院本科生优秀毕业设计（论文）评选办法》、</w:t>
      </w:r>
      <w:r w:rsidRPr="00E970CA">
        <w:rPr>
          <w:rFonts w:ascii="宋体" w:hAnsi="宋体" w:cs="Arial" w:hint="eastAsia"/>
          <w:sz w:val="24"/>
        </w:rPr>
        <w:t>《福州大学至诚学院学位论文作假行为暂行处理办法》《福州大学至诚学院精品课程建设实施意见和管理办法》、《福州大学至诚学院高等教育研究与教学改革立项管理办法》、《福州大学至诚学院期末考试环节规范》、《福州大学至诚学院教学大纲、进度表填报规范》、《福州大学至诚学院教学事故认定与处理办法》、《福州大学至诚学院教学质量奖评选办法》、《福州大学至诚学院教师教学工作规程》、《福州大学至诚学院考试工作管理办法》、《福州大学至诚学院成绩证明出具管理办法》、《福州大学至诚学院学生学分奖励管理办法》、《福州大学至诚学院学士学位授予工作细则》</w:t>
      </w:r>
      <w:r w:rsidRPr="009701E4">
        <w:rPr>
          <w:rFonts w:ascii="宋体" w:hAnsi="宋体" w:cs="Arial" w:hint="eastAsia"/>
          <w:sz w:val="24"/>
        </w:rPr>
        <w:t>等。</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采取有力措施，狠抓制度的落实。一是加强对规章制度的宣传教育。举办教学秘书培训班、新教师岗前培训、新生入学教育、教学规章制度上网发布等多种措施，促进广大师生员工学习和了解规章制度，保证各项规章制度的贯彻落实。二是建立院、系两级检查机制，加强对教学工作各环节的全程监督检查。通过专项检查、定期检查、随机检查等多种形式，对教学规章制度在教学各个环节中的执行情况进行督查。在学期初、期中和期末进行有针对性的检查，及时处理与解决教学管理中遇到的实际问题，并对各个阶段的教学工作进行布置和总结。三是严格执行专业建设、课程建设、师资队伍建设等教学基本建设管理制度，并实行定期检查，有效地提高了教学基本建设的实际效果。四是严肃查处违纪行为。对于在各教学环节中违反教学规章制度的师生，根据相关规定作出严肃处理。</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由于制度健全，措施得力，执行严格，学院的教学工作规范，教学管理水平稳步提高，学生违纪现象逐年下降，逐步形成了优良的教风、考风和学风。</w:t>
      </w:r>
    </w:p>
    <w:p w:rsidR="00683C33" w:rsidRPr="0089285E" w:rsidRDefault="00683C33" w:rsidP="0089285E">
      <w:pPr>
        <w:jc w:val="left"/>
        <w:outlineLvl w:val="1"/>
        <w:rPr>
          <w:rFonts w:ascii="黑体" w:eastAsia="黑体" w:hAnsi="宋体"/>
          <w:bCs/>
          <w:sz w:val="28"/>
          <w:szCs w:val="28"/>
        </w:rPr>
      </w:pPr>
      <w:bookmarkStart w:id="48" w:name="_Toc435622753"/>
      <w:bookmarkStart w:id="49" w:name="_Toc435623811"/>
      <w:r w:rsidRPr="0089285E">
        <w:rPr>
          <w:rFonts w:ascii="黑体" w:eastAsia="黑体" w:hAnsi="宋体" w:hint="eastAsia"/>
          <w:bCs/>
          <w:sz w:val="28"/>
          <w:szCs w:val="28"/>
        </w:rPr>
        <w:t>（二）加强教学质量监控体系建设</w:t>
      </w:r>
      <w:bookmarkEnd w:id="48"/>
      <w:bookmarkEnd w:id="49"/>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t>学院注重对教学质量的监控，不断建立健全教学管理制度，严谨教学，进一步规范了教学过程。</w:t>
      </w:r>
    </w:p>
    <w:p w:rsidR="00683C33" w:rsidRPr="009701E4" w:rsidRDefault="00683C33" w:rsidP="00683C33">
      <w:pPr>
        <w:spacing w:line="400" w:lineRule="exact"/>
        <w:ind w:firstLineChars="200" w:firstLine="480"/>
        <w:rPr>
          <w:rFonts w:ascii="宋体" w:cs="Arial"/>
          <w:sz w:val="24"/>
        </w:rPr>
      </w:pPr>
      <w:r w:rsidRPr="009701E4">
        <w:rPr>
          <w:rFonts w:ascii="宋体" w:hAnsi="宋体" w:cs="Arial" w:hint="eastAsia"/>
          <w:sz w:val="24"/>
        </w:rPr>
        <w:lastRenderedPageBreak/>
        <w:t>学院教学质量监控体系科学，教学管理信息系统健全，服务意识强，教学管理效率高、效果好：①加强教学质量控制的组织建设，完善教学管理制度、教学质量标准，加强新教师岗前培训，完善事前控制；②严格执行教学管理制度和质量标准，成立教学督导，适时控制课堂教学，实现事中控制；③通过事故通报和处理，检查与测评结果反馈，约谈、转岗或辞退等方式，进行事后控制；④推行以完全学分制为主线的教学管理改革，用“看不见的手”调控学生的学习行为；⑤严格考场管理、考试纪律；⑥建立各种规章制度，激励教师学生；⑦规范实验报告、试卷、课程设计、毕业设计（论文）等；⑧建立信息化教学管理系统，完善各种教学管理文件，建立教务咨询部门，提供优质的“窗口”服务；⑨为相关部门设置质量指标，坚持目标管理。设置了四、六级英语通过率、省级计算机考试通过率、职业资格证书获得率、考研录取率、省级以上学科竞赛获奖数、学生论文发表数、毕业率、就业率、发展党员比率、课程不及格率、违纪处分率、教学事故率、科研项目立项数、学术论文发表数、科研成果获奖数、教学竞赛获奖数等指标，通过目标管理、指标考核相关部门及人员，扎实推进了学院学风、教风、机关工作作风建设。</w:t>
      </w:r>
      <w:bookmarkStart w:id="50" w:name="OLE_LINK3"/>
      <w:bookmarkStart w:id="51" w:name="OLE_LINK4"/>
    </w:p>
    <w:p w:rsidR="00683C33" w:rsidRPr="0089285E" w:rsidRDefault="00683C33" w:rsidP="0089285E">
      <w:pPr>
        <w:jc w:val="left"/>
        <w:outlineLvl w:val="1"/>
        <w:rPr>
          <w:rFonts w:ascii="黑体" w:eastAsia="黑体" w:hAnsi="宋体"/>
          <w:bCs/>
          <w:sz w:val="28"/>
          <w:szCs w:val="28"/>
        </w:rPr>
      </w:pPr>
      <w:bookmarkStart w:id="52" w:name="_Toc435622754"/>
      <w:bookmarkStart w:id="53" w:name="_Toc435623812"/>
      <w:r w:rsidRPr="0089285E">
        <w:rPr>
          <w:rFonts w:ascii="黑体" w:eastAsia="黑体" w:hAnsi="宋体" w:hint="eastAsia"/>
          <w:bCs/>
          <w:sz w:val="28"/>
          <w:szCs w:val="28"/>
        </w:rPr>
        <w:t>（三）以评促建，进一步提高教学工作水平</w:t>
      </w:r>
      <w:bookmarkEnd w:id="52"/>
      <w:bookmarkEnd w:id="53"/>
    </w:p>
    <w:p w:rsidR="00683C33" w:rsidRPr="001E55F3" w:rsidRDefault="00683C33" w:rsidP="00683C33">
      <w:pPr>
        <w:spacing w:line="400" w:lineRule="exact"/>
        <w:ind w:firstLineChars="200" w:firstLine="480"/>
        <w:rPr>
          <w:rFonts w:ascii="宋体" w:cs="Arial"/>
          <w:color w:val="0000FF"/>
          <w:sz w:val="24"/>
        </w:rPr>
      </w:pPr>
      <w:r w:rsidRPr="009701E4">
        <w:rPr>
          <w:rFonts w:ascii="宋体" w:hAnsi="宋体" w:cs="Arial" w:hint="eastAsia"/>
          <w:sz w:val="24"/>
        </w:rPr>
        <w:t>学院以评估工作带动学校的各项建设和发展，大力加强教学基本建设，包括师资队伍建设、专业建设和课程建设、教材建设、教学管理建设、教风建设和学风建设等，大力加强教学设施建设，改善办学条件，为教学工作水平进一步提升提供保障。</w:t>
      </w:r>
      <w:r w:rsidRPr="00E970CA">
        <w:rPr>
          <w:rFonts w:ascii="宋体" w:hAnsi="宋体" w:cs="Arial" w:hint="eastAsia"/>
          <w:sz w:val="24"/>
        </w:rPr>
        <w:t>学院自</w:t>
      </w:r>
      <w:r w:rsidRPr="00E970CA">
        <w:rPr>
          <w:rFonts w:ascii="宋体" w:hAnsi="宋体" w:cs="Arial"/>
          <w:sz w:val="24"/>
        </w:rPr>
        <w:t>2011</w:t>
      </w:r>
      <w:r w:rsidRPr="00E970CA">
        <w:rPr>
          <w:rFonts w:ascii="宋体" w:hAnsi="宋体" w:cs="Arial" w:hint="eastAsia"/>
          <w:sz w:val="24"/>
        </w:rPr>
        <w:t>年被福建省教育厅增列为学士学位授权单位起，陆续有</w:t>
      </w:r>
      <w:r w:rsidRPr="00E970CA">
        <w:rPr>
          <w:rFonts w:ascii="宋体" w:hAnsi="宋体" w:cs="Arial"/>
          <w:sz w:val="24"/>
        </w:rPr>
        <w:t>33</w:t>
      </w:r>
      <w:r w:rsidRPr="00E970CA">
        <w:rPr>
          <w:rFonts w:ascii="宋体" w:hAnsi="宋体" w:cs="Arial" w:hint="eastAsia"/>
          <w:sz w:val="24"/>
        </w:rPr>
        <w:t>个专业通过教育厅学士学位授权专家评审，其中</w:t>
      </w:r>
      <w:r w:rsidRPr="00E970CA">
        <w:rPr>
          <w:rFonts w:ascii="宋体" w:hAnsi="宋体" w:cs="Arial"/>
          <w:sz w:val="24"/>
        </w:rPr>
        <w:t>2014</w:t>
      </w:r>
      <w:r w:rsidRPr="00E970CA">
        <w:rPr>
          <w:rFonts w:ascii="宋体" w:hAnsi="宋体" w:cs="Arial" w:hint="eastAsia"/>
          <w:sz w:val="24"/>
        </w:rPr>
        <w:t>年通过评审获得学士学位授予权的专业有生物技术、食品科学与工程、安全工程。</w:t>
      </w:r>
    </w:p>
    <w:p w:rsidR="003043C6" w:rsidRPr="003043C6" w:rsidRDefault="003043C6" w:rsidP="0089285E">
      <w:pPr>
        <w:jc w:val="left"/>
        <w:outlineLvl w:val="0"/>
        <w:rPr>
          <w:rFonts w:ascii="黑体" w:eastAsia="黑体"/>
          <w:bCs/>
          <w:kern w:val="44"/>
          <w:sz w:val="30"/>
          <w:szCs w:val="30"/>
        </w:rPr>
      </w:pPr>
      <w:bookmarkStart w:id="54" w:name="_Toc435622755"/>
      <w:bookmarkStart w:id="55" w:name="_Toc435623813"/>
      <w:bookmarkStart w:id="56" w:name="_Toc403383398"/>
      <w:bookmarkEnd w:id="50"/>
      <w:bookmarkEnd w:id="51"/>
      <w:r w:rsidRPr="003043C6">
        <w:rPr>
          <w:rFonts w:ascii="黑体" w:eastAsia="黑体" w:hint="eastAsia"/>
          <w:bCs/>
          <w:kern w:val="44"/>
          <w:sz w:val="30"/>
          <w:szCs w:val="30"/>
        </w:rPr>
        <w:t>五、学生学习效果</w:t>
      </w:r>
      <w:bookmarkEnd w:id="54"/>
      <w:bookmarkEnd w:id="55"/>
    </w:p>
    <w:p w:rsidR="003043C6" w:rsidRPr="0089285E" w:rsidRDefault="003043C6" w:rsidP="0089285E">
      <w:pPr>
        <w:jc w:val="left"/>
        <w:outlineLvl w:val="1"/>
        <w:rPr>
          <w:rFonts w:ascii="黑体" w:eastAsia="黑体" w:hAnsi="宋体"/>
          <w:bCs/>
          <w:sz w:val="28"/>
          <w:szCs w:val="28"/>
        </w:rPr>
      </w:pPr>
      <w:bookmarkStart w:id="57" w:name="_Toc435622756"/>
      <w:bookmarkStart w:id="58" w:name="_Toc435623814"/>
      <w:r w:rsidRPr="0089285E">
        <w:rPr>
          <w:rFonts w:ascii="黑体" w:eastAsia="黑体" w:hAnsi="宋体" w:hint="eastAsia"/>
          <w:bCs/>
          <w:sz w:val="28"/>
          <w:szCs w:val="28"/>
        </w:rPr>
        <w:t>（一）学生学习满意度</w:t>
      </w:r>
      <w:bookmarkEnd w:id="57"/>
      <w:bookmarkEnd w:id="58"/>
    </w:p>
    <w:p w:rsidR="00683C33" w:rsidRPr="003043C6" w:rsidRDefault="00683C33" w:rsidP="003043C6">
      <w:pPr>
        <w:widowControl/>
        <w:adjustRightInd w:val="0"/>
        <w:spacing w:line="400" w:lineRule="exact"/>
        <w:ind w:firstLineChars="200" w:firstLine="480"/>
        <w:jc w:val="left"/>
        <w:rPr>
          <w:rFonts w:ascii="宋体" w:hAnsi="宋体" w:cs="宋体"/>
          <w:kern w:val="0"/>
          <w:sz w:val="24"/>
        </w:rPr>
      </w:pPr>
      <w:r w:rsidRPr="003043C6">
        <w:rPr>
          <w:rFonts w:ascii="宋体" w:hAnsi="宋体" w:cs="Arial" w:hint="eastAsia"/>
          <w:sz w:val="24"/>
        </w:rPr>
        <w:t>学院历来重视课堂教学质量和学生满意度的监测，教务处每学期组织学生评教，</w:t>
      </w:r>
      <w:r w:rsidRPr="003043C6">
        <w:rPr>
          <w:rFonts w:ascii="宋体" w:hAnsi="宋体" w:cs="Arial"/>
          <w:sz w:val="24"/>
        </w:rPr>
        <w:t>2014</w:t>
      </w:r>
      <w:r w:rsidRPr="003043C6">
        <w:rPr>
          <w:rFonts w:ascii="宋体" w:hAnsi="宋体" w:cs="Arial" w:hint="eastAsia"/>
          <w:sz w:val="24"/>
        </w:rPr>
        <w:t>学年，共有</w:t>
      </w:r>
      <w:r w:rsidRPr="003043C6">
        <w:rPr>
          <w:rFonts w:ascii="宋体" w:hAnsi="宋体" w:cs="Arial"/>
          <w:sz w:val="24"/>
        </w:rPr>
        <w:t>211292</w:t>
      </w:r>
      <w:r w:rsidRPr="003043C6">
        <w:rPr>
          <w:rFonts w:ascii="宋体" w:hAnsi="宋体" w:cs="Arial" w:hint="eastAsia"/>
          <w:sz w:val="24"/>
        </w:rPr>
        <w:t>人次学生对</w:t>
      </w:r>
      <w:r w:rsidRPr="003043C6">
        <w:rPr>
          <w:rFonts w:ascii="宋体" w:hAnsi="宋体" w:cs="Arial"/>
          <w:sz w:val="24"/>
        </w:rPr>
        <w:t>3339</w:t>
      </w:r>
      <w:r w:rsidRPr="003043C6">
        <w:rPr>
          <w:rFonts w:ascii="宋体" w:hAnsi="宋体" w:cs="Arial" w:hint="eastAsia"/>
          <w:sz w:val="24"/>
        </w:rPr>
        <w:t>门次课程进行评价。从评教结果看，学生评教的平均分为</w:t>
      </w:r>
      <w:r w:rsidRPr="003043C6">
        <w:rPr>
          <w:rFonts w:ascii="宋体" w:hAnsi="宋体" w:cs="Arial"/>
          <w:sz w:val="24"/>
        </w:rPr>
        <w:t>95.94</w:t>
      </w:r>
      <w:r w:rsidRPr="003043C6">
        <w:rPr>
          <w:rFonts w:ascii="宋体" w:hAnsi="宋体" w:cs="Arial" w:hint="eastAsia"/>
          <w:sz w:val="24"/>
        </w:rPr>
        <w:t>分，学生对任课教师的教学工作总体比较满意。</w:t>
      </w:r>
    </w:p>
    <w:p w:rsidR="00BC47B0" w:rsidRPr="00BC47B0" w:rsidRDefault="00BC47B0" w:rsidP="0089285E">
      <w:pPr>
        <w:jc w:val="left"/>
        <w:outlineLvl w:val="1"/>
        <w:rPr>
          <w:rFonts w:ascii="黑体" w:eastAsia="黑体" w:hAnsi="宋体"/>
          <w:bCs/>
          <w:sz w:val="28"/>
          <w:szCs w:val="28"/>
        </w:rPr>
      </w:pPr>
      <w:bookmarkStart w:id="59" w:name="_Toc435622757"/>
      <w:bookmarkStart w:id="60" w:name="_Toc435623815"/>
      <w:bookmarkEnd w:id="56"/>
      <w:r w:rsidRPr="00BC47B0">
        <w:rPr>
          <w:rFonts w:ascii="黑体" w:eastAsia="黑体" w:hAnsi="宋体" w:hint="eastAsia"/>
          <w:bCs/>
          <w:sz w:val="28"/>
          <w:szCs w:val="28"/>
        </w:rPr>
        <w:t>（二）本科生毕业、学位授予和就业情况</w:t>
      </w:r>
      <w:bookmarkEnd w:id="59"/>
      <w:bookmarkEnd w:id="60"/>
    </w:p>
    <w:p w:rsidR="00E51770" w:rsidRDefault="00E51770" w:rsidP="00B57322">
      <w:pPr>
        <w:spacing w:line="400" w:lineRule="exact"/>
        <w:ind w:firstLineChars="250" w:firstLine="600"/>
        <w:rPr>
          <w:rFonts w:asciiTheme="minorEastAsia" w:eastAsiaTheme="minorEastAsia" w:hAnsiTheme="minorEastAsia" w:cs="Arial"/>
          <w:sz w:val="24"/>
        </w:rPr>
      </w:pPr>
      <w:r>
        <w:rPr>
          <w:rFonts w:asciiTheme="minorEastAsia" w:eastAsiaTheme="minorEastAsia" w:hAnsiTheme="minorEastAsia" w:cs="Arial" w:hint="eastAsia"/>
          <w:sz w:val="24"/>
        </w:rPr>
        <w:t>2014年，本科毕业学生数为2700人，其中2478人获得毕业证书，毕业率为91.77%；其中2450人获得学士学位，学位授予率为98.87%。</w:t>
      </w:r>
    </w:p>
    <w:p w:rsidR="00683C33" w:rsidRPr="00C4460A" w:rsidRDefault="00683C33" w:rsidP="00C4460A">
      <w:pPr>
        <w:spacing w:line="400" w:lineRule="exact"/>
        <w:ind w:firstLineChars="200" w:firstLine="480"/>
        <w:rPr>
          <w:rFonts w:asciiTheme="minorEastAsia" w:eastAsiaTheme="minorEastAsia" w:hAnsiTheme="minorEastAsia" w:cs="Arial"/>
          <w:sz w:val="24"/>
        </w:rPr>
      </w:pPr>
      <w:r w:rsidRPr="00C4460A">
        <w:rPr>
          <w:rFonts w:asciiTheme="minorEastAsia" w:eastAsiaTheme="minorEastAsia" w:hAnsiTheme="minorEastAsia" w:cs="Arial" w:hint="eastAsia"/>
          <w:sz w:val="24"/>
        </w:rPr>
        <w:t>学院</w:t>
      </w:r>
      <w:r w:rsidRPr="00C4460A">
        <w:rPr>
          <w:rFonts w:asciiTheme="minorEastAsia" w:eastAsiaTheme="minorEastAsia" w:hAnsiTheme="minorEastAsia" w:cs="Arial"/>
          <w:sz w:val="24"/>
        </w:rPr>
        <w:t>2015</w:t>
      </w:r>
      <w:r w:rsidRPr="00C4460A">
        <w:rPr>
          <w:rFonts w:asciiTheme="minorEastAsia" w:eastAsiaTheme="minorEastAsia" w:hAnsiTheme="minorEastAsia" w:cs="Arial" w:hint="eastAsia"/>
          <w:sz w:val="24"/>
        </w:rPr>
        <w:t>届毕业生就业率达到</w:t>
      </w:r>
      <w:r w:rsidRPr="00C4460A">
        <w:rPr>
          <w:rFonts w:asciiTheme="minorEastAsia" w:eastAsiaTheme="minorEastAsia" w:hAnsiTheme="minorEastAsia" w:cs="Arial"/>
          <w:sz w:val="24"/>
        </w:rPr>
        <w:t>96.44%</w:t>
      </w:r>
      <w:r w:rsidRPr="00C4460A">
        <w:rPr>
          <w:rFonts w:asciiTheme="minorEastAsia" w:eastAsiaTheme="minorEastAsia" w:hAnsiTheme="minorEastAsia" w:cs="Arial" w:hint="eastAsia"/>
          <w:sz w:val="24"/>
        </w:rPr>
        <w:t>，达到预期目标。其中考取国内外研究生共</w:t>
      </w:r>
      <w:r w:rsidRPr="00C4460A">
        <w:rPr>
          <w:rFonts w:asciiTheme="minorEastAsia" w:eastAsiaTheme="minorEastAsia" w:hAnsiTheme="minorEastAsia" w:cs="Arial"/>
          <w:sz w:val="24"/>
        </w:rPr>
        <w:t>103</w:t>
      </w:r>
      <w:r w:rsidRPr="00C4460A">
        <w:rPr>
          <w:rFonts w:asciiTheme="minorEastAsia" w:eastAsiaTheme="minorEastAsia" w:hAnsiTheme="minorEastAsia" w:cs="Arial" w:hint="eastAsia"/>
          <w:sz w:val="24"/>
        </w:rPr>
        <w:t>人，应届生考研录取率达</w:t>
      </w:r>
      <w:r w:rsidRPr="00C4460A">
        <w:rPr>
          <w:rFonts w:asciiTheme="minorEastAsia" w:eastAsiaTheme="minorEastAsia" w:hAnsiTheme="minorEastAsia" w:cs="Arial"/>
          <w:sz w:val="24"/>
        </w:rPr>
        <w:t>4.03%</w:t>
      </w:r>
      <w:r w:rsidRPr="00C4460A">
        <w:rPr>
          <w:rFonts w:asciiTheme="minorEastAsia" w:eastAsiaTheme="minorEastAsia" w:hAnsiTheme="minorEastAsia" w:cs="Arial" w:hint="eastAsia"/>
          <w:sz w:val="24"/>
        </w:rPr>
        <w:t>，位居省内同类院校前列；国家地方项目</w:t>
      </w:r>
      <w:r w:rsidRPr="00C4460A">
        <w:rPr>
          <w:rFonts w:asciiTheme="minorEastAsia" w:eastAsiaTheme="minorEastAsia" w:hAnsiTheme="minorEastAsia" w:cs="Arial"/>
          <w:sz w:val="24"/>
        </w:rPr>
        <w:t>23</w:t>
      </w:r>
      <w:r w:rsidRPr="00C4460A">
        <w:rPr>
          <w:rFonts w:asciiTheme="minorEastAsia" w:eastAsiaTheme="minorEastAsia" w:hAnsiTheme="minorEastAsia" w:cs="Arial" w:hint="eastAsia"/>
          <w:sz w:val="24"/>
        </w:rPr>
        <w:t>人，考取公务员和事业单位共</w:t>
      </w:r>
      <w:r w:rsidRPr="00C4460A">
        <w:rPr>
          <w:rFonts w:asciiTheme="minorEastAsia" w:eastAsiaTheme="minorEastAsia" w:hAnsiTheme="minorEastAsia" w:cs="Arial"/>
          <w:sz w:val="24"/>
        </w:rPr>
        <w:t>24</w:t>
      </w:r>
      <w:r w:rsidRPr="00C4460A">
        <w:rPr>
          <w:rFonts w:asciiTheme="minorEastAsia" w:eastAsiaTheme="minorEastAsia" w:hAnsiTheme="minorEastAsia" w:cs="Arial" w:hint="eastAsia"/>
          <w:sz w:val="24"/>
        </w:rPr>
        <w:t>人。总体而言，学院毕业生就业情况良好，入职薪酬水平</w:t>
      </w:r>
      <w:r w:rsidRPr="00C4460A">
        <w:rPr>
          <w:rFonts w:asciiTheme="minorEastAsia" w:eastAsiaTheme="minorEastAsia" w:hAnsiTheme="minorEastAsia" w:cs="Arial" w:hint="eastAsia"/>
          <w:sz w:val="24"/>
        </w:rPr>
        <w:lastRenderedPageBreak/>
        <w:t>逐年改善，大多能在较短时间内迅速适应岗位需求，踏实肯干，勇于开拓，职业发展前景广阔。</w:t>
      </w:r>
    </w:p>
    <w:p w:rsidR="00C4460A" w:rsidRPr="00BC47B0" w:rsidRDefault="00C4460A" w:rsidP="0089285E">
      <w:pPr>
        <w:jc w:val="left"/>
        <w:outlineLvl w:val="1"/>
        <w:rPr>
          <w:rFonts w:ascii="黑体" w:eastAsia="黑体" w:hAnsi="宋体"/>
          <w:bCs/>
          <w:sz w:val="28"/>
          <w:szCs w:val="28"/>
        </w:rPr>
      </w:pPr>
      <w:bookmarkStart w:id="61" w:name="_Toc435622758"/>
      <w:bookmarkStart w:id="62" w:name="_Toc435623816"/>
      <w:r w:rsidRPr="00BC47B0">
        <w:rPr>
          <w:rFonts w:ascii="黑体" w:eastAsia="黑体" w:hAnsi="宋体" w:hint="eastAsia"/>
          <w:bCs/>
          <w:sz w:val="28"/>
          <w:szCs w:val="28"/>
        </w:rPr>
        <w:t>（</w:t>
      </w:r>
      <w:r>
        <w:rPr>
          <w:rFonts w:ascii="黑体" w:eastAsia="黑体" w:hAnsi="宋体" w:hint="eastAsia"/>
          <w:bCs/>
          <w:sz w:val="28"/>
          <w:szCs w:val="28"/>
        </w:rPr>
        <w:t>三</w:t>
      </w:r>
      <w:r w:rsidRPr="00BC47B0">
        <w:rPr>
          <w:rFonts w:ascii="黑体" w:eastAsia="黑体" w:hAnsi="宋体" w:hint="eastAsia"/>
          <w:bCs/>
          <w:sz w:val="28"/>
          <w:szCs w:val="28"/>
        </w:rPr>
        <w:t>）</w:t>
      </w:r>
      <w:r>
        <w:rPr>
          <w:rFonts w:ascii="黑体" w:eastAsia="黑体" w:hAnsi="宋体" w:hint="eastAsia"/>
          <w:bCs/>
          <w:sz w:val="28"/>
          <w:szCs w:val="28"/>
        </w:rPr>
        <w:t>大学生创新创业教育</w:t>
      </w:r>
      <w:bookmarkEnd w:id="61"/>
      <w:bookmarkEnd w:id="62"/>
    </w:p>
    <w:p w:rsidR="00683C33" w:rsidRPr="00906D55" w:rsidRDefault="00683C33" w:rsidP="00906D55">
      <w:pPr>
        <w:spacing w:line="400" w:lineRule="exact"/>
        <w:ind w:firstLineChars="200" w:firstLine="480"/>
        <w:rPr>
          <w:rFonts w:asciiTheme="minorEastAsia" w:eastAsiaTheme="minorEastAsia" w:hAnsiTheme="minorEastAsia" w:cs="宋体"/>
          <w:sz w:val="24"/>
        </w:rPr>
      </w:pPr>
      <w:r w:rsidRPr="00906D55">
        <w:rPr>
          <w:rFonts w:asciiTheme="minorEastAsia" w:eastAsiaTheme="minorEastAsia" w:hAnsiTheme="minorEastAsia" w:cs="宋体" w:hint="eastAsia"/>
          <w:sz w:val="24"/>
        </w:rPr>
        <w:t>学院十分重视大学生创新创业教育，坚持把创新创业教育作为教育教学改革的重要内容，将大学生创新创业培养与人才培养相统筹、学科专业建设相统筹，并将创新创业教育纳入到人才培养体系，不断改革教育教学和人才培养模式，不断提高人才培养质量，取得了较好的效果。过去一年，学院新增省级大学生创新创业训练项目</w:t>
      </w:r>
      <w:r w:rsidRPr="00906D55">
        <w:rPr>
          <w:rFonts w:asciiTheme="minorEastAsia" w:eastAsiaTheme="minorEastAsia" w:hAnsiTheme="minorEastAsia" w:cs="宋体"/>
          <w:sz w:val="24"/>
        </w:rPr>
        <w:t>30</w:t>
      </w:r>
      <w:r w:rsidRPr="00906D55">
        <w:rPr>
          <w:rFonts w:asciiTheme="minorEastAsia" w:eastAsiaTheme="minorEastAsia" w:hAnsiTheme="minorEastAsia" w:cs="宋体" w:hint="eastAsia"/>
          <w:sz w:val="24"/>
        </w:rPr>
        <w:t>项，其中</w:t>
      </w:r>
      <w:r w:rsidRPr="00906D55">
        <w:rPr>
          <w:rFonts w:asciiTheme="minorEastAsia" w:eastAsiaTheme="minorEastAsia" w:hAnsiTheme="minorEastAsia" w:cs="宋体"/>
          <w:sz w:val="24"/>
        </w:rPr>
        <w:t>10</w:t>
      </w:r>
      <w:r w:rsidRPr="00906D55">
        <w:rPr>
          <w:rFonts w:asciiTheme="minorEastAsia" w:eastAsiaTheme="minorEastAsia" w:hAnsiTheme="minorEastAsia" w:cs="宋体" w:hint="eastAsia"/>
          <w:sz w:val="24"/>
        </w:rPr>
        <w:t>项为国家级大学生创新创业训练计划项目，如表</w:t>
      </w:r>
      <w:r w:rsidRPr="00906D55">
        <w:rPr>
          <w:rFonts w:asciiTheme="minorEastAsia" w:eastAsiaTheme="minorEastAsia" w:hAnsiTheme="minorEastAsia" w:cs="宋体"/>
          <w:sz w:val="24"/>
        </w:rPr>
        <w:t>3-1</w:t>
      </w:r>
      <w:r w:rsidRPr="00906D55">
        <w:rPr>
          <w:rFonts w:asciiTheme="minorEastAsia" w:eastAsiaTheme="minorEastAsia" w:hAnsiTheme="minorEastAsia" w:cs="宋体" w:hint="eastAsia"/>
          <w:sz w:val="24"/>
        </w:rPr>
        <w:t>、表</w:t>
      </w:r>
      <w:r w:rsidRPr="00906D55">
        <w:rPr>
          <w:rFonts w:asciiTheme="minorEastAsia" w:eastAsiaTheme="minorEastAsia" w:hAnsiTheme="minorEastAsia" w:cs="宋体"/>
          <w:sz w:val="24"/>
        </w:rPr>
        <w:t>3-2</w:t>
      </w:r>
      <w:r w:rsidRPr="00906D55">
        <w:rPr>
          <w:rFonts w:asciiTheme="minorEastAsia" w:eastAsiaTheme="minorEastAsia" w:hAnsiTheme="minorEastAsia" w:cs="宋体" w:hint="eastAsia"/>
          <w:sz w:val="24"/>
        </w:rPr>
        <w:t>所示。</w:t>
      </w:r>
    </w:p>
    <w:p w:rsidR="00683C33" w:rsidRPr="0094198F" w:rsidRDefault="00683C33" w:rsidP="00683C33">
      <w:pPr>
        <w:spacing w:line="360" w:lineRule="auto"/>
        <w:jc w:val="center"/>
        <w:rPr>
          <w:rFonts w:ascii="宋体" w:cs="宋体"/>
          <w:szCs w:val="21"/>
        </w:rPr>
      </w:pPr>
      <w:r w:rsidRPr="0094198F">
        <w:rPr>
          <w:rFonts w:ascii="宋体" w:hAnsi="宋体" w:cs="宋体" w:hint="eastAsia"/>
          <w:szCs w:val="21"/>
        </w:rPr>
        <w:t>表</w:t>
      </w:r>
      <w:r w:rsidRPr="0094198F">
        <w:rPr>
          <w:rFonts w:ascii="宋体" w:hAnsi="宋体" w:cs="宋体"/>
          <w:szCs w:val="21"/>
        </w:rPr>
        <w:t xml:space="preserve">3-1  </w:t>
      </w:r>
      <w:r w:rsidRPr="0094198F">
        <w:rPr>
          <w:rFonts w:ascii="宋体" w:hAnsi="宋体" w:cs="宋体" w:hint="eastAsia"/>
          <w:szCs w:val="21"/>
        </w:rPr>
        <w:t>省级大学生创新创业训练计划项目（</w:t>
      </w:r>
      <w:r w:rsidRPr="0094198F">
        <w:rPr>
          <w:rFonts w:ascii="宋体" w:hAnsi="宋体" w:cs="宋体"/>
          <w:szCs w:val="21"/>
        </w:rPr>
        <w:t>2014</w:t>
      </w:r>
      <w:r w:rsidRPr="0094198F">
        <w:rPr>
          <w:rFonts w:ascii="宋体" w:hAnsi="宋体" w:cs="宋体" w:hint="eastAsia"/>
          <w:szCs w:val="21"/>
        </w:rPr>
        <w:t>年）</w:t>
      </w:r>
    </w:p>
    <w:tbl>
      <w:tblPr>
        <w:tblW w:w="0" w:type="auto"/>
        <w:jc w:val="center"/>
        <w:tblLayout w:type="fixed"/>
        <w:tblCellMar>
          <w:left w:w="28" w:type="dxa"/>
          <w:right w:w="28" w:type="dxa"/>
        </w:tblCellMar>
        <w:tblLook w:val="0000"/>
      </w:tblPr>
      <w:tblGrid>
        <w:gridCol w:w="662"/>
        <w:gridCol w:w="5390"/>
        <w:gridCol w:w="1945"/>
        <w:gridCol w:w="1624"/>
      </w:tblGrid>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b/>
                <w:bCs/>
                <w:kern w:val="0"/>
                <w:szCs w:val="21"/>
              </w:rPr>
            </w:pPr>
            <w:r w:rsidRPr="0094198F">
              <w:rPr>
                <w:rFonts w:ascii="宋体" w:hAnsi="宋体" w:cs="宋体" w:hint="eastAsia"/>
                <w:b/>
                <w:bCs/>
                <w:kern w:val="0"/>
                <w:szCs w:val="21"/>
              </w:rPr>
              <w:t>序号</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b/>
                <w:bCs/>
                <w:kern w:val="0"/>
                <w:szCs w:val="21"/>
              </w:rPr>
            </w:pPr>
            <w:r w:rsidRPr="0094198F">
              <w:rPr>
                <w:rFonts w:ascii="宋体" w:hAnsi="宋体" w:cs="宋体" w:hint="eastAsia"/>
                <w:b/>
                <w:bCs/>
                <w:kern w:val="0"/>
                <w:szCs w:val="21"/>
              </w:rPr>
              <w:t>项目名称</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b/>
                <w:bCs/>
                <w:kern w:val="0"/>
                <w:szCs w:val="21"/>
              </w:rPr>
            </w:pPr>
            <w:r w:rsidRPr="0094198F">
              <w:rPr>
                <w:rFonts w:ascii="宋体" w:hAnsi="宋体" w:cs="宋体" w:hint="eastAsia"/>
                <w:b/>
                <w:bCs/>
                <w:kern w:val="0"/>
                <w:szCs w:val="21"/>
              </w:rPr>
              <w:t>项目负责人</w:t>
            </w:r>
          </w:p>
        </w:tc>
        <w:tc>
          <w:tcPr>
            <w:tcW w:w="1624" w:type="dxa"/>
            <w:tcBorders>
              <w:top w:val="single" w:sz="4" w:space="0" w:color="auto"/>
              <w:left w:val="nil"/>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b/>
                <w:bCs/>
                <w:kern w:val="0"/>
                <w:szCs w:val="21"/>
              </w:rPr>
            </w:pPr>
            <w:r w:rsidRPr="0094198F">
              <w:rPr>
                <w:rFonts w:ascii="宋体" w:hAnsi="宋体" w:cs="宋体" w:hint="eastAsia"/>
                <w:b/>
                <w:bCs/>
                <w:kern w:val="0"/>
                <w:szCs w:val="21"/>
              </w:rPr>
              <w:t>系别</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智障儿童守护者</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钟子贤</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计算机工程系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基于多点触控的图像控制系统</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林意泓</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3</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GPS</w:t>
            </w:r>
            <w:r w:rsidRPr="0094198F">
              <w:rPr>
                <w:rFonts w:ascii="宋体" w:hAnsi="宋体" w:cs="宋体" w:hint="eastAsia"/>
                <w:szCs w:val="21"/>
              </w:rPr>
              <w:t>的四轴飞行器控制系统的研究与应用</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夏文强</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4</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基于家电网络化与家庭用网安全上的研究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蔡宝志</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5</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3G</w:t>
            </w:r>
            <w:r w:rsidRPr="0094198F">
              <w:rPr>
                <w:rFonts w:ascii="宋体" w:hAnsi="宋体" w:cs="宋体" w:hint="eastAsia"/>
                <w:szCs w:val="21"/>
              </w:rPr>
              <w:t>无人飞机控制链路设计探究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李进</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6</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无人汽车的路障识别与避障系统</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胡淼</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7</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szCs w:val="21"/>
              </w:rPr>
              <w:t>Windows</w:t>
            </w:r>
            <w:r w:rsidRPr="0094198F">
              <w:rPr>
                <w:rFonts w:ascii="宋体" w:hAnsi="宋体" w:cs="宋体" w:hint="eastAsia"/>
                <w:szCs w:val="21"/>
              </w:rPr>
              <w:t>系统界面及用户个性化设计</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高立捷</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8</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android</w:t>
            </w:r>
            <w:r w:rsidRPr="0094198F">
              <w:rPr>
                <w:rFonts w:ascii="宋体" w:hAnsi="宋体" w:cs="宋体" w:hint="eastAsia"/>
                <w:szCs w:val="21"/>
              </w:rPr>
              <w:t>系统的</w:t>
            </w:r>
            <w:r w:rsidRPr="0094198F">
              <w:rPr>
                <w:rFonts w:ascii="宋体" w:hAnsi="宋体" w:cs="宋体"/>
                <w:szCs w:val="21"/>
              </w:rPr>
              <w:t>3G</w:t>
            </w:r>
            <w:r w:rsidRPr="0094198F">
              <w:rPr>
                <w:rFonts w:ascii="宋体" w:hAnsi="宋体" w:cs="宋体" w:hint="eastAsia"/>
                <w:szCs w:val="21"/>
              </w:rPr>
              <w:t>网络远程控制研究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蔡明超</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9</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云电子狗的系统设计与应用</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林立杰</w:t>
            </w:r>
          </w:p>
        </w:tc>
        <w:tc>
          <w:tcPr>
            <w:tcW w:w="1624" w:type="dxa"/>
            <w:vMerge/>
            <w:tcBorders>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10</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BIM</w:t>
            </w:r>
            <w:r w:rsidRPr="0094198F">
              <w:rPr>
                <w:rFonts w:ascii="宋体" w:hAnsi="宋体" w:cs="宋体" w:hint="eastAsia"/>
                <w:szCs w:val="21"/>
              </w:rPr>
              <w:t>技术的施工进度与成本的动态管理</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刘宝松</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土木工程系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11</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福州市鼓楼区宗地</w:t>
            </w:r>
            <w:r w:rsidRPr="0094198F">
              <w:rPr>
                <w:rFonts w:ascii="宋体" w:hAnsi="宋体" w:cs="宋体"/>
                <w:szCs w:val="21"/>
              </w:rPr>
              <w:t>2013-48</w:t>
            </w:r>
            <w:r w:rsidRPr="0094198F">
              <w:rPr>
                <w:rFonts w:ascii="宋体" w:hAnsi="宋体" w:cs="宋体" w:hint="eastAsia"/>
                <w:szCs w:val="21"/>
              </w:rPr>
              <w:t>（江滨西大道）房地产项目全程策划</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龚海岳</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12</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福州城区桥梁伸缩缝调查及改造设计</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林士杰</w:t>
            </w:r>
          </w:p>
        </w:tc>
        <w:tc>
          <w:tcPr>
            <w:tcW w:w="1624" w:type="dxa"/>
            <w:vMerge/>
            <w:tcBorders>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13</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基于物联网的家居电源远程管理系统研究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林仁东</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电气工程系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14</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磁耦合式无线电能传输系统的研究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许雪康</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15</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智能快递终端服务系统研究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林发利</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16</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移动机器人的定位导航与室内地图构建</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翁文栋</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17</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基于神经元网络的微功率逆变系统设计</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郑登彬</w:t>
            </w:r>
          </w:p>
        </w:tc>
        <w:tc>
          <w:tcPr>
            <w:tcW w:w="1624" w:type="dxa"/>
            <w:vMerge/>
            <w:tcBorders>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18</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无模板制备多孔氧化铝陶瓷及孔结构的控制研究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徐碧智</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材料工程系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19</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钢芯铝绞线的改性研究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王艳鸿</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lastRenderedPageBreak/>
              <w:t>20</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空心球聚合物复合材料的开发</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张</w:t>
            </w:r>
            <w:r w:rsidRPr="0094198F">
              <w:rPr>
                <w:rFonts w:ascii="宋体" w:hAnsi="宋体" w:cs="宋体"/>
                <w:szCs w:val="21"/>
              </w:rPr>
              <w:t xml:space="preserve"> </w:t>
            </w:r>
            <w:r w:rsidRPr="0094198F">
              <w:rPr>
                <w:rFonts w:ascii="宋体" w:hAnsi="宋体" w:cs="宋体" w:hint="eastAsia"/>
                <w:szCs w:val="21"/>
              </w:rPr>
              <w:t>臻</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21</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苯并杂环</w:t>
            </w:r>
            <w:r w:rsidRPr="0094198F">
              <w:rPr>
                <w:rFonts w:ascii="宋体" w:hAnsi="宋体" w:cs="宋体"/>
                <w:szCs w:val="21"/>
              </w:rPr>
              <w:t>Cu</w:t>
            </w:r>
            <w:r w:rsidRPr="0094198F">
              <w:rPr>
                <w:rFonts w:ascii="宋体" w:hAnsi="宋体" w:cs="宋体" w:hint="eastAsia"/>
                <w:szCs w:val="21"/>
              </w:rPr>
              <w:t>（</w:t>
            </w:r>
            <w:r w:rsidRPr="0094198F">
              <w:rPr>
                <w:rFonts w:ascii="宋体" w:hAnsi="宋体" w:cs="宋体"/>
                <w:szCs w:val="21"/>
              </w:rPr>
              <w:t>I</w:t>
            </w:r>
            <w:r w:rsidRPr="0094198F">
              <w:rPr>
                <w:rFonts w:ascii="宋体" w:hAnsi="宋体" w:cs="宋体" w:hint="eastAsia"/>
                <w:szCs w:val="21"/>
              </w:rPr>
              <w:t>）荧光选择性传感器</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黄书燊</w:t>
            </w:r>
          </w:p>
        </w:tc>
        <w:tc>
          <w:tcPr>
            <w:tcW w:w="1624" w:type="dxa"/>
            <w:vMerge/>
            <w:tcBorders>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22</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小批量快速包装与印刷服务</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蔡诗扬</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创意与设计系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23</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创意图形在产品造型设计中应用研究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洪祎霖</w:t>
            </w:r>
          </w:p>
        </w:tc>
        <w:tc>
          <w:tcPr>
            <w:tcW w:w="1624" w:type="dxa"/>
            <w:vMerge/>
            <w:tcBorders>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24</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中日两国学生学习习惯异同的研究</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杜沅锴</w:t>
            </w:r>
          </w:p>
        </w:tc>
        <w:tc>
          <w:tcPr>
            <w:tcW w:w="1624"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外语系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25</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以文化创意产业构建民间文化遗产的保护机理</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陈琛</w:t>
            </w:r>
          </w:p>
        </w:tc>
        <w:tc>
          <w:tcPr>
            <w:tcW w:w="1624"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社会事务管理系</w:t>
            </w:r>
          </w:p>
        </w:tc>
      </w:tr>
      <w:tr w:rsidR="00683C33" w:rsidRPr="0094198F" w:rsidTr="00E00D6E">
        <w:trPr>
          <w:trHeight w:val="921"/>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26</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行政管理专业大学生在校教育、学习与社会岗位对接研究</w:t>
            </w:r>
            <w:r w:rsidRPr="0094198F">
              <w:rPr>
                <w:rFonts w:ascii="宋体" w:hAnsi="宋体" w:cs="宋体"/>
                <w:szCs w:val="21"/>
              </w:rPr>
              <w:t>——</w:t>
            </w:r>
            <w:r w:rsidRPr="0094198F">
              <w:rPr>
                <w:rFonts w:ascii="宋体" w:hAnsi="宋体" w:cs="宋体" w:hint="eastAsia"/>
                <w:szCs w:val="21"/>
              </w:rPr>
              <w:t>以福州大学至诚学院洪山镇政府共建教育实践基地为例</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陈慧婷</w:t>
            </w:r>
          </w:p>
        </w:tc>
        <w:tc>
          <w:tcPr>
            <w:tcW w:w="1624" w:type="dxa"/>
            <w:vMerge w:val="restart"/>
            <w:tcBorders>
              <w:top w:val="single" w:sz="4" w:space="0" w:color="auto"/>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政府管理系</w:t>
            </w: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27</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福建省渔民权益保障机制调查研究</w:t>
            </w:r>
            <w:r w:rsidRPr="0094198F">
              <w:rPr>
                <w:rFonts w:ascii="宋体" w:hAnsi="宋体" w:cs="宋体"/>
                <w:szCs w:val="21"/>
              </w:rPr>
              <w:t>——</w:t>
            </w:r>
            <w:r w:rsidRPr="0094198F">
              <w:rPr>
                <w:rFonts w:ascii="宋体" w:hAnsi="宋体" w:cs="宋体" w:hint="eastAsia"/>
                <w:szCs w:val="21"/>
              </w:rPr>
              <w:t>以平潭综合试验区为例</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俞兆达</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28</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Andriod</w:t>
            </w:r>
            <w:r w:rsidRPr="0094198F">
              <w:rPr>
                <w:rFonts w:ascii="宋体" w:hAnsi="宋体" w:cs="宋体" w:hint="eastAsia"/>
                <w:szCs w:val="21"/>
              </w:rPr>
              <w:t>系统技术的在榕高校大学生二手物品交易平台应用开发</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段冉</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29</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基于</w:t>
            </w:r>
            <w:r w:rsidRPr="0094198F">
              <w:rPr>
                <w:rFonts w:ascii="宋体" w:hAnsi="宋体" w:cs="宋体"/>
                <w:szCs w:val="21"/>
              </w:rPr>
              <w:t>android</w:t>
            </w:r>
            <w:r w:rsidRPr="0094198F">
              <w:rPr>
                <w:rFonts w:ascii="宋体" w:hAnsi="宋体" w:cs="宋体" w:hint="eastAsia"/>
                <w:szCs w:val="21"/>
              </w:rPr>
              <w:t>平台的高校大学生网络学习共同体应用软件设计与开发</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王宇</w:t>
            </w:r>
          </w:p>
        </w:tc>
        <w:tc>
          <w:tcPr>
            <w:tcW w:w="1624" w:type="dxa"/>
            <w:vMerge/>
            <w:tcBorders>
              <w:left w:val="nil"/>
              <w:right w:val="single" w:sz="4" w:space="0" w:color="auto"/>
            </w:tcBorders>
            <w:vAlign w:val="center"/>
          </w:tcPr>
          <w:p w:rsidR="00683C33" w:rsidRPr="0094198F" w:rsidRDefault="00683C33" w:rsidP="00E00D6E">
            <w:pPr>
              <w:spacing w:line="360" w:lineRule="auto"/>
              <w:jc w:val="center"/>
              <w:rPr>
                <w:rFonts w:ascii="宋体" w:hAnsi="宋体" w:cs="宋体"/>
                <w:szCs w:val="21"/>
              </w:rPr>
            </w:pPr>
          </w:p>
        </w:tc>
      </w:tr>
      <w:tr w:rsidR="00683C33" w:rsidRPr="0094198F" w:rsidTr="00E00D6E">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683C33" w:rsidRPr="0094198F" w:rsidRDefault="00683C33" w:rsidP="00E00D6E">
            <w:pPr>
              <w:widowControl/>
              <w:spacing w:line="360" w:lineRule="auto"/>
              <w:jc w:val="center"/>
              <w:rPr>
                <w:rFonts w:ascii="宋体" w:hAnsi="宋体" w:cs="宋体"/>
                <w:szCs w:val="21"/>
              </w:rPr>
            </w:pPr>
            <w:r w:rsidRPr="0094198F">
              <w:rPr>
                <w:rFonts w:ascii="宋体" w:hAnsi="宋体" w:cs="宋体"/>
                <w:szCs w:val="21"/>
              </w:rPr>
              <w:t>30</w:t>
            </w:r>
          </w:p>
        </w:tc>
        <w:tc>
          <w:tcPr>
            <w:tcW w:w="5390"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rPr>
                <w:rFonts w:ascii="宋体" w:hAnsi="宋体" w:cs="宋体"/>
                <w:szCs w:val="21"/>
              </w:rPr>
            </w:pPr>
            <w:r w:rsidRPr="0094198F">
              <w:rPr>
                <w:rFonts w:ascii="宋体" w:hAnsi="宋体" w:cs="宋体" w:hint="eastAsia"/>
                <w:szCs w:val="21"/>
              </w:rPr>
              <w:t>莆田市荔城区后黄村田园乡村规划设计</w:t>
            </w:r>
          </w:p>
        </w:tc>
        <w:tc>
          <w:tcPr>
            <w:tcW w:w="1945" w:type="dxa"/>
            <w:tcBorders>
              <w:top w:val="single" w:sz="4" w:space="0" w:color="auto"/>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王迪</w:t>
            </w:r>
          </w:p>
        </w:tc>
        <w:tc>
          <w:tcPr>
            <w:tcW w:w="1624" w:type="dxa"/>
            <w:tcBorders>
              <w:left w:val="nil"/>
              <w:bottom w:val="single" w:sz="4" w:space="0" w:color="auto"/>
              <w:right w:val="single" w:sz="4" w:space="0" w:color="auto"/>
            </w:tcBorders>
            <w:vAlign w:val="center"/>
          </w:tcPr>
          <w:p w:rsidR="00683C33" w:rsidRPr="0094198F" w:rsidRDefault="00683C33" w:rsidP="00E00D6E">
            <w:pPr>
              <w:spacing w:line="360" w:lineRule="auto"/>
              <w:jc w:val="center"/>
              <w:rPr>
                <w:rFonts w:ascii="宋体" w:hAnsi="宋体" w:cs="宋体"/>
                <w:szCs w:val="21"/>
              </w:rPr>
            </w:pPr>
            <w:r w:rsidRPr="0094198F">
              <w:rPr>
                <w:rFonts w:ascii="宋体" w:hAnsi="宋体" w:cs="宋体" w:hint="eastAsia"/>
                <w:szCs w:val="21"/>
              </w:rPr>
              <w:t>建筑系</w:t>
            </w:r>
          </w:p>
        </w:tc>
      </w:tr>
    </w:tbl>
    <w:p w:rsidR="00683C33" w:rsidRDefault="00683C33" w:rsidP="00683C33">
      <w:pPr>
        <w:spacing w:line="360" w:lineRule="auto"/>
        <w:rPr>
          <w:rFonts w:ascii="宋体" w:cs="宋体"/>
          <w:sz w:val="24"/>
        </w:rPr>
      </w:pPr>
    </w:p>
    <w:p w:rsidR="00683C33" w:rsidRDefault="00683C33" w:rsidP="00683C33">
      <w:pPr>
        <w:spacing w:line="360" w:lineRule="auto"/>
        <w:rPr>
          <w:rFonts w:ascii="宋体" w:cs="宋体"/>
          <w:sz w:val="24"/>
        </w:rPr>
      </w:pPr>
    </w:p>
    <w:p w:rsidR="00683C33" w:rsidRPr="00522F88" w:rsidRDefault="00683C33" w:rsidP="00683C33">
      <w:pPr>
        <w:spacing w:line="360" w:lineRule="auto"/>
        <w:jc w:val="center"/>
        <w:rPr>
          <w:rFonts w:ascii="宋体" w:hAnsi="宋体" w:cs="宋体"/>
          <w:szCs w:val="21"/>
        </w:rPr>
      </w:pPr>
      <w:r w:rsidRPr="00522F88">
        <w:rPr>
          <w:rFonts w:ascii="宋体" w:hAnsi="宋体" w:cs="宋体" w:hint="eastAsia"/>
          <w:szCs w:val="21"/>
        </w:rPr>
        <w:t>表</w:t>
      </w:r>
      <w:r w:rsidRPr="00522F88">
        <w:rPr>
          <w:rFonts w:ascii="宋体" w:hAnsi="宋体" w:cs="宋体"/>
          <w:szCs w:val="21"/>
        </w:rPr>
        <w:t xml:space="preserve">3-2  </w:t>
      </w:r>
      <w:r w:rsidRPr="00522F88">
        <w:rPr>
          <w:rFonts w:ascii="宋体" w:hAnsi="宋体" w:cs="宋体" w:hint="eastAsia"/>
          <w:szCs w:val="21"/>
        </w:rPr>
        <w:t>国家级大学生创新创业训练计划项目（</w:t>
      </w:r>
      <w:r w:rsidRPr="00522F88">
        <w:rPr>
          <w:rFonts w:ascii="宋体" w:hAnsi="宋体" w:cs="宋体"/>
          <w:szCs w:val="21"/>
        </w:rPr>
        <w:t>2014</w:t>
      </w:r>
      <w:r w:rsidRPr="00522F88">
        <w:rPr>
          <w:rFonts w:ascii="宋体" w:hAnsi="宋体" w:cs="宋体" w:hint="eastAsia"/>
          <w:szCs w:val="21"/>
        </w:rPr>
        <w:t>年）</w:t>
      </w:r>
    </w:p>
    <w:tbl>
      <w:tblPr>
        <w:tblW w:w="0" w:type="auto"/>
        <w:jc w:val="center"/>
        <w:tblLayout w:type="fixed"/>
        <w:tblCellMar>
          <w:left w:w="28" w:type="dxa"/>
          <w:right w:w="28" w:type="dxa"/>
        </w:tblCellMar>
        <w:tblLook w:val="0000"/>
      </w:tblPr>
      <w:tblGrid>
        <w:gridCol w:w="657"/>
        <w:gridCol w:w="5387"/>
        <w:gridCol w:w="1955"/>
        <w:gridCol w:w="1620"/>
      </w:tblGrid>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b/>
                <w:bCs/>
                <w:kern w:val="0"/>
                <w:szCs w:val="21"/>
              </w:rPr>
            </w:pPr>
            <w:r w:rsidRPr="00522F88">
              <w:rPr>
                <w:rFonts w:ascii="宋体" w:hAnsi="宋体" w:cs="宋体" w:hint="eastAsia"/>
                <w:b/>
                <w:bCs/>
                <w:kern w:val="0"/>
                <w:szCs w:val="21"/>
              </w:rPr>
              <w:t>序号</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b/>
                <w:bCs/>
                <w:kern w:val="0"/>
                <w:szCs w:val="21"/>
              </w:rPr>
            </w:pPr>
            <w:r w:rsidRPr="00522F88">
              <w:rPr>
                <w:rFonts w:ascii="宋体" w:hAnsi="宋体" w:cs="宋体" w:hint="eastAsia"/>
                <w:b/>
                <w:bCs/>
                <w:kern w:val="0"/>
                <w:szCs w:val="21"/>
              </w:rPr>
              <w:t>项目名称</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b/>
                <w:bCs/>
                <w:kern w:val="0"/>
                <w:szCs w:val="21"/>
              </w:rPr>
            </w:pPr>
            <w:r w:rsidRPr="00522F88">
              <w:rPr>
                <w:rFonts w:ascii="宋体" w:hAnsi="宋体" w:cs="宋体" w:hint="eastAsia"/>
                <w:b/>
                <w:bCs/>
                <w:kern w:val="0"/>
                <w:szCs w:val="21"/>
              </w:rPr>
              <w:t>项目负责人</w:t>
            </w:r>
          </w:p>
        </w:tc>
        <w:tc>
          <w:tcPr>
            <w:tcW w:w="1620" w:type="dxa"/>
            <w:tcBorders>
              <w:top w:val="single" w:sz="4" w:space="0" w:color="auto"/>
              <w:left w:val="nil"/>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b/>
                <w:bCs/>
                <w:kern w:val="0"/>
                <w:szCs w:val="21"/>
              </w:rPr>
            </w:pPr>
            <w:r w:rsidRPr="00522F88">
              <w:rPr>
                <w:rFonts w:ascii="宋体" w:hAnsi="宋体" w:cs="宋体" w:hint="eastAsia"/>
                <w:b/>
                <w:bCs/>
                <w:kern w:val="0"/>
                <w:szCs w:val="21"/>
              </w:rPr>
              <w:t>系别</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1</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智障儿童守护者</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钟子贤</w:t>
            </w:r>
          </w:p>
        </w:tc>
        <w:tc>
          <w:tcPr>
            <w:tcW w:w="1620" w:type="dxa"/>
            <w:vMerge w:val="restart"/>
            <w:tcBorders>
              <w:top w:val="single" w:sz="4" w:space="0" w:color="auto"/>
              <w:left w:val="nil"/>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计算机工程系</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2</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基于多点触控的图像控制系统</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林意泓</w:t>
            </w:r>
          </w:p>
        </w:tc>
        <w:tc>
          <w:tcPr>
            <w:tcW w:w="1620" w:type="dxa"/>
            <w:vMerge/>
            <w:tcBorders>
              <w:left w:val="nil"/>
              <w:right w:val="single" w:sz="4" w:space="0" w:color="auto"/>
            </w:tcBorders>
            <w:vAlign w:val="center"/>
          </w:tcPr>
          <w:p w:rsidR="00683C33" w:rsidRPr="00522F88" w:rsidRDefault="00683C33" w:rsidP="00E00D6E">
            <w:pPr>
              <w:spacing w:line="360" w:lineRule="auto"/>
              <w:jc w:val="center"/>
              <w:rPr>
                <w:rFonts w:ascii="宋体" w:hAnsi="宋体" w:cs="宋体"/>
                <w:szCs w:val="21"/>
              </w:rPr>
            </w:pP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3</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基于</w:t>
            </w:r>
            <w:r w:rsidRPr="00522F88">
              <w:rPr>
                <w:rFonts w:ascii="宋体" w:hAnsi="宋体" w:cs="宋体"/>
                <w:szCs w:val="21"/>
              </w:rPr>
              <w:t>GPS</w:t>
            </w:r>
            <w:r w:rsidRPr="00522F88">
              <w:rPr>
                <w:rFonts w:ascii="宋体" w:hAnsi="宋体" w:cs="宋体" w:hint="eastAsia"/>
                <w:szCs w:val="21"/>
              </w:rPr>
              <w:t>的四轴飞行器控制系统的研究与应用</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夏文强</w:t>
            </w:r>
          </w:p>
        </w:tc>
        <w:tc>
          <w:tcPr>
            <w:tcW w:w="1620" w:type="dxa"/>
            <w:vMerge/>
            <w:tcBorders>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4</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莆田市荔城区后黄村田园乡村规划设计</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王迪</w:t>
            </w:r>
          </w:p>
        </w:tc>
        <w:tc>
          <w:tcPr>
            <w:tcW w:w="1620"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建筑系</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5</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基于</w:t>
            </w:r>
            <w:r w:rsidRPr="00522F88">
              <w:rPr>
                <w:rFonts w:ascii="宋体" w:hAnsi="宋体" w:cs="宋体"/>
                <w:szCs w:val="21"/>
              </w:rPr>
              <w:t>BIM</w:t>
            </w:r>
            <w:r w:rsidRPr="00522F88">
              <w:rPr>
                <w:rFonts w:ascii="宋体" w:hAnsi="宋体" w:cs="宋体" w:hint="eastAsia"/>
                <w:szCs w:val="21"/>
              </w:rPr>
              <w:t>技术的施工进度与成本的动态管理</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刘宝松</w:t>
            </w:r>
          </w:p>
        </w:tc>
        <w:tc>
          <w:tcPr>
            <w:tcW w:w="1620"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土木工程系</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6</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基于物联网的家居电源远程管理系统研究</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林仁东</w:t>
            </w:r>
          </w:p>
        </w:tc>
        <w:tc>
          <w:tcPr>
            <w:tcW w:w="1620" w:type="dxa"/>
            <w:vMerge w:val="restart"/>
            <w:tcBorders>
              <w:top w:val="single" w:sz="4" w:space="0" w:color="auto"/>
              <w:left w:val="nil"/>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电气工程系</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7</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磁耦合式无线电能传输系统的研究</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许雪康</w:t>
            </w:r>
          </w:p>
        </w:tc>
        <w:tc>
          <w:tcPr>
            <w:tcW w:w="1620" w:type="dxa"/>
            <w:vMerge/>
            <w:tcBorders>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8</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无模板制备多孔氧化铝陶瓷及孔结构的控制研究</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徐碧智</w:t>
            </w:r>
          </w:p>
        </w:tc>
        <w:tc>
          <w:tcPr>
            <w:tcW w:w="1620" w:type="dxa"/>
            <w:vMerge w:val="restart"/>
            <w:tcBorders>
              <w:top w:val="single" w:sz="4" w:space="0" w:color="auto"/>
              <w:left w:val="nil"/>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材料工程系</w:t>
            </w: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t>9</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钢芯铝绞线的改性研究</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王艳鸿</w:t>
            </w:r>
          </w:p>
        </w:tc>
        <w:tc>
          <w:tcPr>
            <w:tcW w:w="1620" w:type="dxa"/>
            <w:vMerge/>
            <w:tcBorders>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p>
        </w:tc>
      </w:tr>
      <w:tr w:rsidR="00683C33" w:rsidRPr="00522F88" w:rsidTr="00E00D6E">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683C33" w:rsidRPr="00522F88" w:rsidRDefault="00683C33" w:rsidP="00E00D6E">
            <w:pPr>
              <w:widowControl/>
              <w:spacing w:line="360" w:lineRule="auto"/>
              <w:jc w:val="center"/>
              <w:rPr>
                <w:rFonts w:ascii="宋体" w:hAnsi="宋体" w:cs="宋体"/>
                <w:szCs w:val="21"/>
              </w:rPr>
            </w:pPr>
            <w:r w:rsidRPr="00522F88">
              <w:rPr>
                <w:rFonts w:ascii="宋体" w:hAnsi="宋体" w:cs="宋体"/>
                <w:szCs w:val="21"/>
              </w:rPr>
              <w:lastRenderedPageBreak/>
              <w:t>10</w:t>
            </w:r>
          </w:p>
        </w:tc>
        <w:tc>
          <w:tcPr>
            <w:tcW w:w="5387"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rPr>
                <w:rFonts w:ascii="宋体" w:hAnsi="宋体" w:cs="宋体"/>
                <w:szCs w:val="21"/>
              </w:rPr>
            </w:pPr>
            <w:r w:rsidRPr="00522F88">
              <w:rPr>
                <w:rFonts w:ascii="宋体" w:hAnsi="宋体" w:cs="宋体" w:hint="eastAsia"/>
                <w:szCs w:val="21"/>
              </w:rPr>
              <w:t>行政管理专业大学生在校教育、学习与社会岗位对接研究</w:t>
            </w:r>
            <w:r w:rsidRPr="00522F88">
              <w:rPr>
                <w:rFonts w:ascii="宋体" w:hAnsi="宋体" w:cs="宋体"/>
                <w:szCs w:val="21"/>
              </w:rPr>
              <w:t>——</w:t>
            </w:r>
            <w:r w:rsidRPr="00522F88">
              <w:rPr>
                <w:rFonts w:ascii="宋体" w:hAnsi="宋体" w:cs="宋体" w:hint="eastAsia"/>
                <w:szCs w:val="21"/>
              </w:rPr>
              <w:t>以福州大学至诚学院洪山镇政府共建教育实践基地为例</w:t>
            </w:r>
          </w:p>
        </w:tc>
        <w:tc>
          <w:tcPr>
            <w:tcW w:w="1955"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陈慧婷</w:t>
            </w:r>
          </w:p>
        </w:tc>
        <w:tc>
          <w:tcPr>
            <w:tcW w:w="1620" w:type="dxa"/>
            <w:tcBorders>
              <w:top w:val="single" w:sz="4" w:space="0" w:color="auto"/>
              <w:left w:val="nil"/>
              <w:bottom w:val="single" w:sz="4" w:space="0" w:color="auto"/>
              <w:right w:val="single" w:sz="4" w:space="0" w:color="auto"/>
            </w:tcBorders>
            <w:vAlign w:val="center"/>
          </w:tcPr>
          <w:p w:rsidR="00683C33" w:rsidRPr="00522F88" w:rsidRDefault="00683C33" w:rsidP="00E00D6E">
            <w:pPr>
              <w:spacing w:line="360" w:lineRule="auto"/>
              <w:jc w:val="center"/>
              <w:rPr>
                <w:rFonts w:ascii="宋体" w:hAnsi="宋体" w:cs="宋体"/>
                <w:szCs w:val="21"/>
              </w:rPr>
            </w:pPr>
            <w:r w:rsidRPr="00522F88">
              <w:rPr>
                <w:rFonts w:ascii="宋体" w:hAnsi="宋体" w:cs="宋体" w:hint="eastAsia"/>
                <w:szCs w:val="21"/>
              </w:rPr>
              <w:t>政府管理系</w:t>
            </w:r>
          </w:p>
        </w:tc>
      </w:tr>
    </w:tbl>
    <w:p w:rsidR="00683C33" w:rsidRDefault="00683C33" w:rsidP="00683C33">
      <w:pPr>
        <w:spacing w:line="360" w:lineRule="auto"/>
        <w:ind w:firstLineChars="200" w:firstLine="480"/>
        <w:rPr>
          <w:rFonts w:ascii="宋体" w:cs="宋体"/>
          <w:sz w:val="24"/>
        </w:rPr>
      </w:pPr>
    </w:p>
    <w:p w:rsidR="00683C33" w:rsidRPr="00125E02" w:rsidRDefault="00683C33" w:rsidP="00125E02">
      <w:pPr>
        <w:spacing w:line="400" w:lineRule="exact"/>
        <w:ind w:firstLineChars="200" w:firstLine="480"/>
        <w:rPr>
          <w:rFonts w:ascii="宋体" w:hAnsi="宋体" w:cs="宋体"/>
          <w:sz w:val="24"/>
        </w:rPr>
      </w:pPr>
      <w:r w:rsidRPr="00125E02">
        <w:rPr>
          <w:rFonts w:ascii="宋体" w:hAnsi="宋体" w:cs="宋体" w:hint="eastAsia"/>
          <w:sz w:val="24"/>
        </w:rPr>
        <w:t>目前，学校形成了国家级、省级、校级三级大学生创新创业训练体系，实现了理论教学、实践教学与科学研究的有机结合，对提高我校大学生的创新能力、科研能力，帮助大学生自主开展研究、进行探究性学习起到了积极作用。系统、完善的创新创业训练体系已成为</w:t>
      </w:r>
      <w:r w:rsidR="000526F1">
        <w:rPr>
          <w:rFonts w:ascii="宋体" w:hAnsi="宋体" w:cs="宋体" w:hint="eastAsia"/>
          <w:sz w:val="24"/>
        </w:rPr>
        <w:t>学院</w:t>
      </w:r>
      <w:r w:rsidRPr="00125E02">
        <w:rPr>
          <w:rFonts w:ascii="宋体" w:hAnsi="宋体" w:cs="宋体" w:hint="eastAsia"/>
          <w:sz w:val="24"/>
        </w:rPr>
        <w:t>本科人才培养的一大特色，并取得了显著成效。</w:t>
      </w:r>
      <w:bookmarkStart w:id="63" w:name="_Toc403383400"/>
    </w:p>
    <w:p w:rsidR="00125E02" w:rsidRPr="00BC47B0" w:rsidRDefault="00125E02" w:rsidP="0089285E">
      <w:pPr>
        <w:jc w:val="left"/>
        <w:outlineLvl w:val="1"/>
        <w:rPr>
          <w:rFonts w:ascii="黑体" w:eastAsia="黑体" w:hAnsi="宋体"/>
          <w:bCs/>
          <w:sz w:val="28"/>
          <w:szCs w:val="28"/>
        </w:rPr>
      </w:pPr>
      <w:bookmarkStart w:id="64" w:name="_Toc435622759"/>
      <w:bookmarkStart w:id="65" w:name="_Toc435623817"/>
      <w:bookmarkEnd w:id="63"/>
      <w:r w:rsidRPr="00BC47B0">
        <w:rPr>
          <w:rFonts w:ascii="黑体" w:eastAsia="黑体" w:hAnsi="宋体" w:hint="eastAsia"/>
          <w:bCs/>
          <w:sz w:val="28"/>
          <w:szCs w:val="28"/>
        </w:rPr>
        <w:t>（</w:t>
      </w:r>
      <w:r>
        <w:rPr>
          <w:rFonts w:ascii="黑体" w:eastAsia="黑体" w:hAnsi="宋体" w:hint="eastAsia"/>
          <w:bCs/>
          <w:sz w:val="28"/>
          <w:szCs w:val="28"/>
        </w:rPr>
        <w:t>四</w:t>
      </w:r>
      <w:r w:rsidRPr="00BC47B0">
        <w:rPr>
          <w:rFonts w:ascii="黑体" w:eastAsia="黑体" w:hAnsi="宋体" w:hint="eastAsia"/>
          <w:bCs/>
          <w:sz w:val="28"/>
          <w:szCs w:val="28"/>
        </w:rPr>
        <w:t>）</w:t>
      </w:r>
      <w:r>
        <w:rPr>
          <w:rFonts w:ascii="黑体" w:eastAsia="黑体" w:hAnsi="宋体" w:hint="eastAsia"/>
          <w:bCs/>
          <w:sz w:val="28"/>
          <w:szCs w:val="28"/>
        </w:rPr>
        <w:t>学科竞赛活动</w:t>
      </w:r>
      <w:bookmarkEnd w:id="64"/>
      <w:bookmarkEnd w:id="65"/>
    </w:p>
    <w:p w:rsidR="00683C33" w:rsidRPr="00A81AA8" w:rsidRDefault="00683C33" w:rsidP="00A81AA8">
      <w:pPr>
        <w:spacing w:line="400" w:lineRule="exact"/>
        <w:ind w:firstLineChars="200" w:firstLine="480"/>
        <w:rPr>
          <w:rFonts w:ascii="宋体" w:hAnsi="宋体" w:cs="宋体"/>
          <w:sz w:val="24"/>
        </w:rPr>
      </w:pPr>
      <w:r w:rsidRPr="00A81AA8">
        <w:rPr>
          <w:rFonts w:ascii="宋体" w:hAnsi="宋体" w:cs="宋体" w:hint="eastAsia"/>
          <w:sz w:val="24"/>
        </w:rPr>
        <w:t>学院建有学生创意、创新、创业、外语、文学、艺术、健身活动中心，在丰富学生业余生活的同时，鼓励和支持学生参与各类学科竞赛。截至</w:t>
      </w:r>
      <w:r w:rsidRPr="00A81AA8">
        <w:rPr>
          <w:rFonts w:ascii="宋体" w:hAnsi="宋体" w:cs="宋体"/>
          <w:sz w:val="24"/>
        </w:rPr>
        <w:t>2015</w:t>
      </w:r>
      <w:r w:rsidRPr="00A81AA8">
        <w:rPr>
          <w:rFonts w:ascii="宋体" w:hAnsi="宋体" w:cs="宋体" w:hint="eastAsia"/>
          <w:sz w:val="24"/>
        </w:rPr>
        <w:t>年</w:t>
      </w:r>
      <w:r w:rsidRPr="00A81AA8">
        <w:rPr>
          <w:rFonts w:ascii="宋体" w:hAnsi="宋体" w:cs="宋体"/>
          <w:sz w:val="24"/>
        </w:rPr>
        <w:t>8</w:t>
      </w:r>
      <w:r w:rsidRPr="00A81AA8">
        <w:rPr>
          <w:rFonts w:ascii="宋体" w:hAnsi="宋体" w:cs="宋体" w:hint="eastAsia"/>
          <w:sz w:val="24"/>
        </w:rPr>
        <w:t>月，学院学生在各类竞赛中，成绩优异，硕果累累，共获得省级以上荣誉</w:t>
      </w:r>
      <w:r w:rsidRPr="00A81AA8">
        <w:rPr>
          <w:rFonts w:ascii="宋体" w:hAnsi="宋体" w:cs="宋体"/>
          <w:sz w:val="24"/>
        </w:rPr>
        <w:t>1080</w:t>
      </w:r>
      <w:r w:rsidRPr="00A81AA8">
        <w:rPr>
          <w:rFonts w:ascii="宋体" w:hAnsi="宋体" w:cs="宋体" w:hint="eastAsia"/>
          <w:sz w:val="24"/>
        </w:rPr>
        <w:t>项及学生专利</w:t>
      </w:r>
      <w:r w:rsidRPr="00A81AA8">
        <w:rPr>
          <w:rFonts w:ascii="宋体" w:hAnsi="宋体" w:cs="宋体"/>
          <w:sz w:val="24"/>
        </w:rPr>
        <w:t>6</w:t>
      </w:r>
      <w:r w:rsidRPr="00A81AA8">
        <w:rPr>
          <w:rFonts w:ascii="宋体" w:hAnsi="宋体" w:cs="宋体" w:hint="eastAsia"/>
          <w:sz w:val="24"/>
        </w:rPr>
        <w:t>项。其中，国际级荣誉</w:t>
      </w:r>
      <w:r w:rsidRPr="00A81AA8">
        <w:rPr>
          <w:rFonts w:ascii="宋体" w:hAnsi="宋体" w:cs="宋体"/>
          <w:sz w:val="24"/>
        </w:rPr>
        <w:t>20</w:t>
      </w:r>
      <w:r w:rsidRPr="00A81AA8">
        <w:rPr>
          <w:rFonts w:ascii="宋体" w:hAnsi="宋体" w:cs="宋体" w:hint="eastAsia"/>
          <w:sz w:val="24"/>
        </w:rPr>
        <w:t>项，国家级荣誉</w:t>
      </w:r>
      <w:r w:rsidRPr="00A81AA8">
        <w:rPr>
          <w:rFonts w:ascii="宋体" w:hAnsi="宋体" w:cs="宋体"/>
          <w:sz w:val="24"/>
        </w:rPr>
        <w:t>303</w:t>
      </w:r>
      <w:r w:rsidRPr="00A81AA8">
        <w:rPr>
          <w:rFonts w:ascii="宋体" w:hAnsi="宋体" w:cs="宋体" w:hint="eastAsia"/>
          <w:sz w:val="24"/>
        </w:rPr>
        <w:t>项，省级荣誉</w:t>
      </w:r>
      <w:r w:rsidRPr="00A81AA8">
        <w:rPr>
          <w:rFonts w:ascii="宋体" w:hAnsi="宋体" w:cs="宋体"/>
          <w:sz w:val="24"/>
        </w:rPr>
        <w:t>757</w:t>
      </w:r>
      <w:r w:rsidRPr="00A81AA8">
        <w:rPr>
          <w:rFonts w:ascii="宋体" w:hAnsi="宋体" w:cs="宋体" w:hint="eastAsia"/>
          <w:sz w:val="24"/>
        </w:rPr>
        <w:t>项。学科竞赛获奖情况，居省内独立学院首列。</w:t>
      </w:r>
    </w:p>
    <w:p w:rsidR="00683C33" w:rsidRPr="00A81AA8" w:rsidRDefault="00683C33" w:rsidP="00A81AA8">
      <w:pPr>
        <w:spacing w:line="400" w:lineRule="exact"/>
        <w:ind w:firstLineChars="200" w:firstLine="480"/>
        <w:rPr>
          <w:rFonts w:ascii="宋体" w:hAnsi="宋体" w:cs="宋体"/>
          <w:sz w:val="24"/>
        </w:rPr>
      </w:pPr>
      <w:r w:rsidRPr="00A81AA8">
        <w:rPr>
          <w:rFonts w:ascii="宋体" w:hAnsi="宋体" w:cs="宋体" w:hint="eastAsia"/>
          <w:sz w:val="24"/>
        </w:rPr>
        <w:t>在</w:t>
      </w:r>
      <w:r w:rsidRPr="00A81AA8">
        <w:rPr>
          <w:rFonts w:ascii="宋体" w:hAnsi="宋体" w:cs="宋体"/>
          <w:sz w:val="24"/>
        </w:rPr>
        <w:t>2014</w:t>
      </w:r>
      <w:r w:rsidRPr="00A81AA8">
        <w:rPr>
          <w:rFonts w:ascii="宋体" w:hAnsi="宋体" w:cs="宋体" w:hint="eastAsia"/>
          <w:sz w:val="24"/>
        </w:rPr>
        <w:t>学年获得国家级以上学科竞赛荣誉中，学院计算机创新团队在</w:t>
      </w:r>
      <w:r w:rsidRPr="00A81AA8">
        <w:rPr>
          <w:rFonts w:ascii="宋体" w:hAnsi="宋体" w:cs="宋体"/>
          <w:sz w:val="24"/>
        </w:rPr>
        <w:t>2015</w:t>
      </w:r>
      <w:r w:rsidRPr="00A81AA8">
        <w:rPr>
          <w:rFonts w:ascii="宋体" w:hAnsi="宋体" w:cs="宋体" w:hint="eastAsia"/>
          <w:sz w:val="24"/>
        </w:rPr>
        <w:t>微软创新杯中国区总决赛中获得中国区一等奖</w:t>
      </w:r>
      <w:r w:rsidRPr="00A81AA8">
        <w:rPr>
          <w:rFonts w:ascii="宋体" w:hAnsi="宋体" w:cs="宋体"/>
          <w:sz w:val="24"/>
        </w:rPr>
        <w:t>1</w:t>
      </w:r>
      <w:r w:rsidRPr="00A81AA8">
        <w:rPr>
          <w:rFonts w:ascii="宋体" w:hAnsi="宋体" w:cs="宋体" w:hint="eastAsia"/>
          <w:sz w:val="24"/>
        </w:rPr>
        <w:t>项；机器人创新团队获</w:t>
      </w:r>
      <w:r w:rsidRPr="00A81AA8">
        <w:rPr>
          <w:rFonts w:ascii="宋体" w:hAnsi="宋体" w:cs="宋体"/>
          <w:bCs/>
          <w:sz w:val="24"/>
        </w:rPr>
        <w:t>2014</w:t>
      </w:r>
      <w:r w:rsidRPr="00A81AA8">
        <w:rPr>
          <w:rFonts w:ascii="宋体" w:hAnsi="宋体" w:cs="宋体" w:hint="eastAsia"/>
          <w:bCs/>
          <w:sz w:val="24"/>
        </w:rPr>
        <w:t>中国机器人大赛暨</w:t>
      </w:r>
      <w:r w:rsidRPr="00A81AA8">
        <w:rPr>
          <w:rFonts w:ascii="宋体" w:hAnsi="宋体" w:cs="宋体"/>
          <w:bCs/>
          <w:sz w:val="24"/>
        </w:rPr>
        <w:t>RobotCup</w:t>
      </w:r>
      <w:r w:rsidRPr="00A81AA8">
        <w:rPr>
          <w:rFonts w:ascii="宋体" w:hAnsi="宋体" w:cs="宋体" w:hint="eastAsia"/>
          <w:bCs/>
          <w:sz w:val="24"/>
        </w:rPr>
        <w:t>公开赛冠军</w:t>
      </w:r>
      <w:r w:rsidRPr="00A81AA8">
        <w:rPr>
          <w:rFonts w:ascii="宋体" w:hAnsi="宋体" w:cs="宋体"/>
          <w:bCs/>
          <w:sz w:val="24"/>
        </w:rPr>
        <w:t>1</w:t>
      </w:r>
      <w:r w:rsidRPr="00A81AA8">
        <w:rPr>
          <w:rFonts w:ascii="宋体" w:hAnsi="宋体" w:cs="宋体" w:hint="eastAsia"/>
          <w:bCs/>
          <w:sz w:val="24"/>
        </w:rPr>
        <w:t>项、亚军</w:t>
      </w:r>
      <w:r w:rsidRPr="00A81AA8">
        <w:rPr>
          <w:rFonts w:ascii="宋体" w:hAnsi="宋体" w:cs="宋体"/>
          <w:bCs/>
          <w:sz w:val="24"/>
        </w:rPr>
        <w:t>2</w:t>
      </w:r>
      <w:r w:rsidRPr="00A81AA8">
        <w:rPr>
          <w:rFonts w:ascii="宋体" w:hAnsi="宋体" w:cs="宋体" w:hint="eastAsia"/>
          <w:bCs/>
          <w:sz w:val="24"/>
        </w:rPr>
        <w:t>项、季军</w:t>
      </w:r>
      <w:r w:rsidRPr="00A81AA8">
        <w:rPr>
          <w:rFonts w:ascii="宋体" w:hAnsi="宋体" w:cs="宋体"/>
          <w:bCs/>
          <w:sz w:val="24"/>
        </w:rPr>
        <w:t>2</w:t>
      </w:r>
      <w:r w:rsidRPr="00A81AA8">
        <w:rPr>
          <w:rFonts w:ascii="宋体" w:hAnsi="宋体" w:cs="宋体" w:hint="eastAsia"/>
          <w:bCs/>
          <w:sz w:val="24"/>
        </w:rPr>
        <w:t>项、特等奖</w:t>
      </w:r>
      <w:r w:rsidRPr="00A81AA8">
        <w:rPr>
          <w:rFonts w:ascii="宋体" w:hAnsi="宋体" w:cs="宋体"/>
          <w:bCs/>
          <w:sz w:val="24"/>
        </w:rPr>
        <w:t>4</w:t>
      </w:r>
      <w:r w:rsidRPr="00A81AA8">
        <w:rPr>
          <w:rFonts w:ascii="宋体" w:hAnsi="宋体" w:cs="宋体" w:hint="eastAsia"/>
          <w:bCs/>
          <w:sz w:val="24"/>
        </w:rPr>
        <w:t>项、一等奖</w:t>
      </w:r>
      <w:r w:rsidRPr="00A81AA8">
        <w:rPr>
          <w:rFonts w:ascii="宋体" w:hAnsi="宋体" w:cs="宋体"/>
          <w:bCs/>
          <w:sz w:val="24"/>
        </w:rPr>
        <w:t>2</w:t>
      </w:r>
      <w:r w:rsidRPr="00A81AA8">
        <w:rPr>
          <w:rFonts w:ascii="宋体" w:hAnsi="宋体" w:cs="宋体" w:hint="eastAsia"/>
          <w:bCs/>
          <w:sz w:val="24"/>
        </w:rPr>
        <w:t>项，并</w:t>
      </w:r>
      <w:r w:rsidRPr="00A81AA8">
        <w:rPr>
          <w:rFonts w:ascii="宋体" w:hAnsi="宋体" w:cs="宋体" w:hint="eastAsia"/>
          <w:kern w:val="0"/>
          <w:sz w:val="24"/>
        </w:rPr>
        <w:t>在工程类项目中收获一等奖</w:t>
      </w:r>
      <w:r w:rsidRPr="00A81AA8">
        <w:rPr>
          <w:rFonts w:ascii="宋体" w:hAnsi="宋体" w:cs="宋体"/>
          <w:kern w:val="0"/>
          <w:sz w:val="24"/>
        </w:rPr>
        <w:t>2</w:t>
      </w:r>
      <w:r w:rsidRPr="00A81AA8">
        <w:rPr>
          <w:rFonts w:ascii="宋体" w:hAnsi="宋体" w:cs="宋体" w:hint="eastAsia"/>
          <w:kern w:val="0"/>
          <w:sz w:val="24"/>
        </w:rPr>
        <w:t>项、三等奖</w:t>
      </w:r>
      <w:r w:rsidRPr="00A81AA8">
        <w:rPr>
          <w:rFonts w:ascii="宋体" w:hAnsi="宋体" w:cs="宋体"/>
          <w:kern w:val="0"/>
          <w:sz w:val="24"/>
        </w:rPr>
        <w:t>1</w:t>
      </w:r>
      <w:r w:rsidRPr="00A81AA8">
        <w:rPr>
          <w:rFonts w:ascii="宋体" w:hAnsi="宋体" w:cs="宋体" w:hint="eastAsia"/>
          <w:kern w:val="0"/>
          <w:sz w:val="24"/>
        </w:rPr>
        <w:t>项、优胜奖</w:t>
      </w:r>
      <w:r w:rsidRPr="00A81AA8">
        <w:rPr>
          <w:rFonts w:ascii="宋体" w:hAnsi="宋体" w:cs="宋体"/>
          <w:kern w:val="0"/>
          <w:sz w:val="24"/>
        </w:rPr>
        <w:t>1</w:t>
      </w:r>
      <w:r w:rsidRPr="00A81AA8">
        <w:rPr>
          <w:rFonts w:ascii="宋体" w:hAnsi="宋体" w:cs="宋体" w:hint="eastAsia"/>
          <w:kern w:val="0"/>
          <w:sz w:val="24"/>
        </w:rPr>
        <w:t>项</w:t>
      </w:r>
      <w:r w:rsidRPr="00A81AA8">
        <w:rPr>
          <w:rFonts w:ascii="宋体" w:hAnsi="宋体" w:cs="宋体" w:hint="eastAsia"/>
          <w:bCs/>
          <w:sz w:val="24"/>
        </w:rPr>
        <w:t>；</w:t>
      </w:r>
      <w:r w:rsidRPr="00A81AA8">
        <w:rPr>
          <w:rFonts w:ascii="宋体" w:hAnsi="宋体" w:cs="宋体"/>
          <w:bCs/>
          <w:kern w:val="0"/>
          <w:sz w:val="24"/>
        </w:rPr>
        <w:t>2015</w:t>
      </w:r>
      <w:r w:rsidRPr="00A81AA8">
        <w:rPr>
          <w:rFonts w:ascii="宋体" w:hAnsi="宋体" w:cs="宋体" w:hint="eastAsia"/>
          <w:bCs/>
          <w:kern w:val="0"/>
          <w:sz w:val="24"/>
        </w:rPr>
        <w:t>年</w:t>
      </w:r>
      <w:r w:rsidRPr="00A81AA8">
        <w:rPr>
          <w:rFonts w:ascii="宋体" w:hAnsi="宋体" w:cs="宋体" w:hint="eastAsia"/>
          <w:bCs/>
          <w:sz w:val="24"/>
        </w:rPr>
        <w:t>第六届“蓝桥杯”全国软件和信息技术专业人才大赛全国总决赛中获得</w:t>
      </w:r>
      <w:r w:rsidRPr="00A81AA8">
        <w:rPr>
          <w:rFonts w:ascii="宋体" w:hAnsi="宋体" w:cs="宋体" w:hint="eastAsia"/>
          <w:sz w:val="24"/>
        </w:rPr>
        <w:t>二等奖</w:t>
      </w:r>
      <w:r w:rsidRPr="00A81AA8">
        <w:rPr>
          <w:rFonts w:ascii="宋体" w:hAnsi="宋体" w:cs="宋体"/>
          <w:sz w:val="24"/>
        </w:rPr>
        <w:t>4</w:t>
      </w:r>
      <w:r w:rsidRPr="00A81AA8">
        <w:rPr>
          <w:rFonts w:ascii="宋体" w:hAnsi="宋体" w:cs="宋体" w:hint="eastAsia"/>
          <w:sz w:val="24"/>
        </w:rPr>
        <w:t>项、三等奖</w:t>
      </w:r>
      <w:r w:rsidRPr="00A81AA8">
        <w:rPr>
          <w:rFonts w:ascii="宋体" w:hAnsi="宋体" w:cs="宋体"/>
          <w:sz w:val="24"/>
        </w:rPr>
        <w:t>2</w:t>
      </w:r>
      <w:r w:rsidRPr="00A81AA8">
        <w:rPr>
          <w:rFonts w:ascii="宋体" w:hAnsi="宋体" w:cs="宋体" w:hint="eastAsia"/>
          <w:sz w:val="24"/>
        </w:rPr>
        <w:t>项、优秀奖</w:t>
      </w:r>
      <w:r w:rsidRPr="00A81AA8">
        <w:rPr>
          <w:rFonts w:ascii="宋体" w:hAnsi="宋体" w:cs="宋体"/>
          <w:sz w:val="24"/>
        </w:rPr>
        <w:t>4</w:t>
      </w:r>
      <w:r w:rsidRPr="00A81AA8">
        <w:rPr>
          <w:rFonts w:ascii="宋体" w:hAnsi="宋体" w:cs="宋体" w:hint="eastAsia"/>
          <w:sz w:val="24"/>
        </w:rPr>
        <w:t>项。</w:t>
      </w:r>
    </w:p>
    <w:p w:rsidR="009A3F5D" w:rsidRPr="00F5582B" w:rsidRDefault="009A3F5D" w:rsidP="0089285E">
      <w:pPr>
        <w:jc w:val="left"/>
        <w:outlineLvl w:val="0"/>
        <w:rPr>
          <w:rFonts w:ascii="黑体" w:eastAsia="黑体"/>
          <w:bCs/>
          <w:kern w:val="44"/>
          <w:sz w:val="30"/>
          <w:szCs w:val="30"/>
        </w:rPr>
      </w:pPr>
      <w:bookmarkStart w:id="66" w:name="_Toc435622760"/>
      <w:bookmarkStart w:id="67" w:name="_Toc435623818"/>
      <w:r w:rsidRPr="00F5582B">
        <w:rPr>
          <w:rFonts w:ascii="黑体" w:eastAsia="黑体" w:hint="eastAsia"/>
          <w:bCs/>
          <w:kern w:val="44"/>
          <w:sz w:val="30"/>
          <w:szCs w:val="30"/>
        </w:rPr>
        <w:t>六、特色发展</w:t>
      </w:r>
      <w:bookmarkEnd w:id="66"/>
      <w:bookmarkEnd w:id="67"/>
    </w:p>
    <w:p w:rsidR="009A3F5D" w:rsidRPr="00BC47B0" w:rsidRDefault="009A3F5D" w:rsidP="0089285E">
      <w:pPr>
        <w:jc w:val="left"/>
        <w:outlineLvl w:val="1"/>
        <w:rPr>
          <w:rFonts w:ascii="黑体" w:eastAsia="黑体" w:hAnsi="宋体"/>
          <w:bCs/>
          <w:sz w:val="28"/>
          <w:szCs w:val="28"/>
        </w:rPr>
      </w:pPr>
      <w:bookmarkStart w:id="68" w:name="_Toc435622761"/>
      <w:bookmarkStart w:id="69" w:name="_Toc435623819"/>
      <w:r w:rsidRPr="00BC47B0">
        <w:rPr>
          <w:rFonts w:ascii="黑体" w:eastAsia="黑体" w:hAnsi="宋体" w:hint="eastAsia"/>
          <w:bCs/>
          <w:sz w:val="28"/>
          <w:szCs w:val="28"/>
        </w:rPr>
        <w:t>（</w:t>
      </w:r>
      <w:r>
        <w:rPr>
          <w:rFonts w:ascii="黑体" w:eastAsia="黑体" w:hAnsi="宋体" w:hint="eastAsia"/>
          <w:bCs/>
          <w:sz w:val="28"/>
          <w:szCs w:val="28"/>
        </w:rPr>
        <w:t>一</w:t>
      </w:r>
      <w:r w:rsidRPr="00BC47B0">
        <w:rPr>
          <w:rFonts w:ascii="黑体" w:eastAsia="黑体" w:hAnsi="宋体" w:hint="eastAsia"/>
          <w:bCs/>
          <w:sz w:val="28"/>
          <w:szCs w:val="28"/>
        </w:rPr>
        <w:t>）</w:t>
      </w:r>
      <w:r>
        <w:rPr>
          <w:rFonts w:ascii="黑体" w:eastAsia="黑体" w:hAnsi="宋体" w:hint="eastAsia"/>
          <w:bCs/>
          <w:sz w:val="28"/>
          <w:szCs w:val="28"/>
        </w:rPr>
        <w:t>专业设置紧紧围绕区域经济社会发展</w:t>
      </w:r>
      <w:bookmarkEnd w:id="68"/>
      <w:bookmarkEnd w:id="69"/>
    </w:p>
    <w:p w:rsidR="00683C33" w:rsidRPr="00A319CF" w:rsidRDefault="00683C33" w:rsidP="00A319CF">
      <w:pPr>
        <w:spacing w:line="400" w:lineRule="exact"/>
        <w:ind w:firstLineChars="200" w:firstLine="480"/>
        <w:rPr>
          <w:rFonts w:ascii="宋体" w:hAnsi="宋体" w:cs="Arial"/>
          <w:sz w:val="24"/>
        </w:rPr>
      </w:pPr>
      <w:r w:rsidRPr="00A319CF">
        <w:rPr>
          <w:rFonts w:ascii="宋体" w:hAnsi="宋体" w:cs="Arial" w:hint="eastAsia"/>
          <w:sz w:val="24"/>
        </w:rPr>
        <w:t>坚持以工为主，兼有经、管、文、艺、理等多学科协调发展。</w:t>
      </w:r>
      <w:r w:rsidR="004F5AFA">
        <w:rPr>
          <w:rFonts w:ascii="宋体" w:hAnsi="宋体" w:cs="Arial" w:hint="eastAsia"/>
          <w:sz w:val="24"/>
        </w:rPr>
        <w:t>39</w:t>
      </w:r>
      <w:r w:rsidRPr="00A319CF">
        <w:rPr>
          <w:rFonts w:ascii="宋体" w:hAnsi="宋体" w:cs="Arial" w:hint="eastAsia"/>
          <w:sz w:val="24"/>
        </w:rPr>
        <w:t>个招生专业中，有</w:t>
      </w:r>
      <w:r w:rsidRPr="00A319CF">
        <w:rPr>
          <w:rFonts w:ascii="宋体" w:hAnsi="宋体" w:cs="Arial"/>
          <w:sz w:val="24"/>
        </w:rPr>
        <w:t>25</w:t>
      </w:r>
      <w:r w:rsidRPr="00A319CF">
        <w:rPr>
          <w:rFonts w:ascii="宋体" w:hAnsi="宋体" w:cs="Arial" w:hint="eastAsia"/>
          <w:sz w:val="24"/>
        </w:rPr>
        <w:t>个专业属于工学，占</w:t>
      </w:r>
      <w:r w:rsidRPr="00A319CF">
        <w:rPr>
          <w:rFonts w:ascii="宋体" w:hAnsi="宋体" w:cs="Arial"/>
          <w:sz w:val="24"/>
        </w:rPr>
        <w:t>61%</w:t>
      </w:r>
      <w:r w:rsidRPr="00A319CF">
        <w:rPr>
          <w:rFonts w:ascii="宋体" w:hAnsi="宋体" w:cs="Arial" w:hint="eastAsia"/>
          <w:sz w:val="24"/>
        </w:rPr>
        <w:t>。根据我省鼓励增设工学专业的精神，目前学院工科专业人数比例为全省之首。学院的专业设置紧紧围绕福建省战略性新兴产业和区域内重点产业，旨在为区域经济建设与社会发展提供人才支撑。</w:t>
      </w:r>
    </w:p>
    <w:p w:rsidR="00A319CF" w:rsidRPr="00BC47B0" w:rsidRDefault="00A319CF" w:rsidP="0089285E">
      <w:pPr>
        <w:jc w:val="left"/>
        <w:outlineLvl w:val="1"/>
        <w:rPr>
          <w:rFonts w:ascii="黑体" w:eastAsia="黑体" w:hAnsi="宋体"/>
          <w:bCs/>
          <w:sz w:val="28"/>
          <w:szCs w:val="28"/>
        </w:rPr>
      </w:pPr>
      <w:bookmarkStart w:id="70" w:name="_Toc435622762"/>
      <w:bookmarkStart w:id="71" w:name="_Toc435623820"/>
      <w:r w:rsidRPr="00BC47B0">
        <w:rPr>
          <w:rFonts w:ascii="黑体" w:eastAsia="黑体" w:hAnsi="宋体" w:hint="eastAsia"/>
          <w:bCs/>
          <w:sz w:val="28"/>
          <w:szCs w:val="28"/>
        </w:rPr>
        <w:t>（</w:t>
      </w:r>
      <w:r>
        <w:rPr>
          <w:rFonts w:ascii="黑体" w:eastAsia="黑体" w:hAnsi="宋体" w:hint="eastAsia"/>
          <w:bCs/>
          <w:sz w:val="28"/>
          <w:szCs w:val="28"/>
        </w:rPr>
        <w:t>二</w:t>
      </w:r>
      <w:r w:rsidRPr="00BC47B0">
        <w:rPr>
          <w:rFonts w:ascii="黑体" w:eastAsia="黑体" w:hAnsi="宋体" w:hint="eastAsia"/>
          <w:bCs/>
          <w:sz w:val="28"/>
          <w:szCs w:val="28"/>
        </w:rPr>
        <w:t>）</w:t>
      </w:r>
      <w:r>
        <w:rPr>
          <w:rFonts w:ascii="黑体" w:eastAsia="黑体" w:hAnsi="宋体" w:hint="eastAsia"/>
          <w:bCs/>
          <w:sz w:val="28"/>
          <w:szCs w:val="28"/>
        </w:rPr>
        <w:t>实践实训教学体系和学科竞赛成果助力应用型人才培养</w:t>
      </w:r>
      <w:bookmarkEnd w:id="70"/>
      <w:bookmarkEnd w:id="71"/>
    </w:p>
    <w:p w:rsidR="00683C33" w:rsidRPr="00AA12AF" w:rsidRDefault="00683C33" w:rsidP="00AA12AF">
      <w:pPr>
        <w:spacing w:line="400" w:lineRule="exact"/>
        <w:ind w:firstLineChars="200" w:firstLine="480"/>
        <w:rPr>
          <w:rFonts w:asciiTheme="minorEastAsia" w:eastAsiaTheme="minorEastAsia" w:hAnsiTheme="minorEastAsia" w:cs="Arial"/>
          <w:sz w:val="24"/>
        </w:rPr>
      </w:pPr>
      <w:r w:rsidRPr="00AA12AF">
        <w:rPr>
          <w:rFonts w:asciiTheme="minorEastAsia" w:eastAsiaTheme="minorEastAsia" w:hAnsiTheme="minorEastAsia" w:cs="Arial" w:hint="eastAsia"/>
          <w:sz w:val="24"/>
        </w:rPr>
        <w:t>学院通过构建完善的实践、实训教学体系，开展丰富的第二课堂活动，将理论教学与实践教学贯穿于人才培养的各个环节，学院还多方位的开展校企合作及产学研，使课堂教学得到了有效延伸。学院重视并鼓励学生参与各类学科竞赛，提高学生在相应学科领域中运用基础知识来解决实际问题的能力，培养创新思维和实践动手能力，</w:t>
      </w:r>
      <w:r w:rsidRPr="00AA12AF">
        <w:rPr>
          <w:rFonts w:asciiTheme="minorEastAsia" w:eastAsiaTheme="minorEastAsia" w:hAnsiTheme="minorEastAsia" w:cs="Arial" w:hint="eastAsia"/>
          <w:sz w:val="24"/>
        </w:rPr>
        <w:lastRenderedPageBreak/>
        <w:t>切实提高了应用型人才培养质量。</w:t>
      </w:r>
    </w:p>
    <w:p w:rsidR="00382682" w:rsidRPr="00382682" w:rsidRDefault="00382682" w:rsidP="00382682">
      <w:pPr>
        <w:widowControl/>
        <w:spacing w:line="400" w:lineRule="exact"/>
        <w:ind w:firstLineChars="200" w:firstLine="480"/>
        <w:jc w:val="left"/>
        <w:rPr>
          <w:rFonts w:ascii="宋体" w:hAnsi="宋体" w:cs="宋体"/>
          <w:kern w:val="0"/>
          <w:sz w:val="24"/>
        </w:rPr>
      </w:pPr>
      <w:r w:rsidRPr="00382682">
        <w:rPr>
          <w:rFonts w:ascii="宋体" w:hAnsi="宋体" w:cs="宋体"/>
          <w:kern w:val="0"/>
          <w:sz w:val="24"/>
        </w:rPr>
        <w:t>学院还进一步深化校企产学研合作，共同推进应用型人才培养。学院与北京中博诚通国际技术培训有限责任公司达成了ACCA培训合作项目；与福州展望外语培训学校（北京雅思福州分校）达成了合作项目；与上海雅力教育信息咨询有限公司达成了合作项目；与福建李可染画院达成了合作项目，成立了“李可染画院至诚艺术中心”。同时学院还进一步深化与福建紫荆文化传播集团有限公司的合作。福建紫荆文化传播集团有限公司向我院计算机工程实验室捐赠总市值500万元的图形工作站及大型渲染机组等教学设备，首批捐赠的150万元教学设备已移交我院。2015年7月，由福建紫荆文化传播集团有限公司承制的海峡卫视《印象中国》栏目选择我院为真实蓝本进行拍摄，并以《印象至诚》《青春至诚》作为开篇2集，呈现了我院近年来在教学体系创新、学生全面素养塑造、青年创业引导等多方面的举措和取得的成果。《印象至诚》播出后得到了社会各届的好评。日前，由福州紫荆文化传播集团投资制作，以福州大学和至诚学院为题材背景的现代都市电视剧《南方枫叶红》成功通过广电总局备案，即将投入拍摄</w:t>
      </w:r>
      <w:r w:rsidRPr="00382682">
        <w:rPr>
          <w:rFonts w:ascii="宋体" w:hAnsi="宋体" w:cs="宋体" w:hint="eastAsia"/>
          <w:kern w:val="0"/>
          <w:sz w:val="24"/>
        </w:rPr>
        <w:t>。</w:t>
      </w:r>
    </w:p>
    <w:p w:rsidR="00683C33" w:rsidRPr="00AA12AF" w:rsidRDefault="00683C33" w:rsidP="00AA12AF">
      <w:pPr>
        <w:spacing w:line="400" w:lineRule="exact"/>
        <w:ind w:firstLineChars="200" w:firstLine="480"/>
        <w:rPr>
          <w:rFonts w:asciiTheme="minorEastAsia" w:eastAsiaTheme="minorEastAsia" w:hAnsiTheme="minorEastAsia" w:cs="Arial"/>
          <w:sz w:val="24"/>
        </w:rPr>
      </w:pPr>
      <w:r w:rsidRPr="00AA12AF">
        <w:rPr>
          <w:rFonts w:asciiTheme="minorEastAsia" w:eastAsiaTheme="minorEastAsia" w:hAnsiTheme="minorEastAsia" w:cs="宋体" w:hint="eastAsia"/>
          <w:sz w:val="24"/>
        </w:rPr>
        <w:t>此外，学院还经常选派创新中心、艺术中心、健身中心等的学生参加国际、港、澳、台各级别竞赛。特别是学院在有国际影响力的</w:t>
      </w:r>
      <w:r w:rsidRPr="00AA12AF">
        <w:rPr>
          <w:rFonts w:asciiTheme="minorEastAsia" w:eastAsiaTheme="minorEastAsia" w:hAnsiTheme="minorEastAsia" w:cs="Arial" w:hint="eastAsia"/>
          <w:sz w:val="24"/>
        </w:rPr>
        <w:t>微软创新杯和机器人大赛都获得优异成绩，这些竞赛项目已经成为学院的特色品牌项目。</w:t>
      </w:r>
    </w:p>
    <w:p w:rsidR="00A96839" w:rsidRPr="00BC47B0" w:rsidRDefault="00A96839" w:rsidP="0089285E">
      <w:pPr>
        <w:jc w:val="left"/>
        <w:outlineLvl w:val="1"/>
        <w:rPr>
          <w:rFonts w:ascii="黑体" w:eastAsia="黑体" w:hAnsi="宋体"/>
          <w:bCs/>
          <w:sz w:val="28"/>
          <w:szCs w:val="28"/>
        </w:rPr>
      </w:pPr>
      <w:bookmarkStart w:id="72" w:name="_Toc435622763"/>
      <w:bookmarkStart w:id="73" w:name="_Toc435623821"/>
      <w:bookmarkStart w:id="74" w:name="_Toc352314705"/>
      <w:bookmarkStart w:id="75" w:name="_Toc401687541"/>
      <w:bookmarkStart w:id="76" w:name="_Toc403383405"/>
      <w:r w:rsidRPr="00BC47B0">
        <w:rPr>
          <w:rFonts w:ascii="黑体" w:eastAsia="黑体" w:hAnsi="宋体" w:hint="eastAsia"/>
          <w:bCs/>
          <w:sz w:val="28"/>
          <w:szCs w:val="28"/>
        </w:rPr>
        <w:t>（</w:t>
      </w:r>
      <w:r>
        <w:rPr>
          <w:rFonts w:ascii="黑体" w:eastAsia="黑体" w:hAnsi="宋体" w:hint="eastAsia"/>
          <w:bCs/>
          <w:sz w:val="28"/>
          <w:szCs w:val="28"/>
        </w:rPr>
        <w:t>三</w:t>
      </w:r>
      <w:r w:rsidRPr="00BC47B0">
        <w:rPr>
          <w:rFonts w:ascii="黑体" w:eastAsia="黑体" w:hAnsi="宋体" w:hint="eastAsia"/>
          <w:bCs/>
          <w:sz w:val="28"/>
          <w:szCs w:val="28"/>
        </w:rPr>
        <w:t>）</w:t>
      </w:r>
      <w:r>
        <w:rPr>
          <w:rFonts w:ascii="黑体" w:eastAsia="黑体" w:hAnsi="宋体" w:hint="eastAsia"/>
          <w:bCs/>
          <w:sz w:val="28"/>
          <w:szCs w:val="28"/>
        </w:rPr>
        <w:t>以“开放办学”战略为指导，积极拓展合作办学空间</w:t>
      </w:r>
      <w:bookmarkEnd w:id="72"/>
      <w:bookmarkEnd w:id="73"/>
    </w:p>
    <w:p w:rsidR="00683C33" w:rsidRPr="00C472E9" w:rsidRDefault="00683C33" w:rsidP="00C472E9">
      <w:pPr>
        <w:spacing w:line="400" w:lineRule="exact"/>
        <w:ind w:firstLineChars="200" w:firstLine="480"/>
        <w:rPr>
          <w:rFonts w:ascii="宋体" w:hAnsi="宋体" w:cs="Arial"/>
          <w:sz w:val="24"/>
        </w:rPr>
      </w:pPr>
      <w:r w:rsidRPr="00C472E9">
        <w:rPr>
          <w:rFonts w:ascii="宋体" w:hAnsi="宋体" w:cs="Arial" w:hint="eastAsia"/>
          <w:sz w:val="24"/>
        </w:rPr>
        <w:t>学院坚持以“开放办学”战略为指导</w:t>
      </w:r>
      <w:r w:rsidRPr="00C472E9">
        <w:rPr>
          <w:rFonts w:ascii="宋体" w:hAnsi="宋体" w:cs="Arial"/>
          <w:sz w:val="24"/>
        </w:rPr>
        <w:t xml:space="preserve">, </w:t>
      </w:r>
      <w:r w:rsidRPr="00C472E9">
        <w:rPr>
          <w:rFonts w:ascii="宋体" w:hAnsi="宋体" w:cs="Arial" w:hint="eastAsia"/>
          <w:sz w:val="24"/>
        </w:rPr>
        <w:t>积极拓展国际开放办学空间，培养具有国际视野、富有创新精神、能够参与国际事务的国际化人才，推动了学院办学走上新台阶。</w:t>
      </w:r>
    </w:p>
    <w:p w:rsidR="00683C33" w:rsidRPr="00C472E9" w:rsidRDefault="00683C33" w:rsidP="00C472E9">
      <w:pPr>
        <w:spacing w:line="400" w:lineRule="exact"/>
        <w:ind w:firstLineChars="200" w:firstLine="480"/>
        <w:rPr>
          <w:rFonts w:ascii="宋体" w:hAnsi="宋体" w:cs="Arial"/>
          <w:sz w:val="24"/>
        </w:rPr>
      </w:pPr>
      <w:r w:rsidRPr="00C472E9">
        <w:rPr>
          <w:rFonts w:ascii="宋体" w:hAnsi="宋体" w:cs="宋体" w:hint="eastAsia"/>
          <w:sz w:val="24"/>
        </w:rPr>
        <w:t>学院与美国南阿拉巴马大学、美国特莱恩大学、美国南伊利诺伊斯大学、加拿大菲沙河谷大学、英国南威尔士大学、德国凯泽斯劳滕应用科技大学、日本长崎外国语大学共同实施学生联合培养。</w:t>
      </w:r>
      <w:r w:rsidRPr="00C472E9">
        <w:rPr>
          <w:rFonts w:ascii="宋体" w:hAnsi="宋体" w:cs="Arial"/>
          <w:sz w:val="24"/>
        </w:rPr>
        <w:t>2014</w:t>
      </w:r>
      <w:r w:rsidRPr="00935F38">
        <w:rPr>
          <w:rFonts w:ascii="宋体" w:hAnsi="宋体" w:cs="Arial"/>
          <w:color w:val="FF0000"/>
          <w:sz w:val="24"/>
        </w:rPr>
        <w:t>-2015</w:t>
      </w:r>
      <w:r w:rsidRPr="00C472E9">
        <w:rPr>
          <w:rFonts w:ascii="宋体" w:hAnsi="宋体" w:cs="Arial" w:hint="eastAsia"/>
          <w:sz w:val="24"/>
        </w:rPr>
        <w:t>学年学院已有</w:t>
      </w:r>
      <w:r w:rsidR="007341C5">
        <w:rPr>
          <w:rFonts w:ascii="宋体" w:hAnsi="宋体" w:cs="Arial" w:hint="eastAsia"/>
          <w:color w:val="FF0000"/>
          <w:sz w:val="24"/>
        </w:rPr>
        <w:t>41</w:t>
      </w:r>
      <w:r w:rsidRPr="00C472E9">
        <w:rPr>
          <w:rFonts w:ascii="宋体" w:hAnsi="宋体" w:cs="Arial" w:hint="eastAsia"/>
          <w:sz w:val="24"/>
        </w:rPr>
        <w:t>名同学赴欧美等国参加联合培养项目学习。</w:t>
      </w:r>
    </w:p>
    <w:p w:rsidR="00683C33" w:rsidRPr="00C472E9" w:rsidRDefault="00683C33" w:rsidP="00C472E9">
      <w:pPr>
        <w:spacing w:line="400" w:lineRule="exact"/>
        <w:ind w:firstLineChars="200" w:firstLine="480"/>
        <w:rPr>
          <w:rFonts w:ascii="宋体" w:hAnsi="宋体" w:cs="Arial"/>
          <w:sz w:val="24"/>
        </w:rPr>
      </w:pPr>
      <w:r w:rsidRPr="00C472E9">
        <w:rPr>
          <w:rFonts w:ascii="宋体" w:hAnsi="宋体" w:cs="宋体" w:hint="eastAsia"/>
          <w:sz w:val="24"/>
        </w:rPr>
        <w:t>学院定期选派学生赴</w:t>
      </w:r>
      <w:r w:rsidRPr="00C472E9">
        <w:rPr>
          <w:rFonts w:ascii="宋体" w:hAnsi="宋体" w:cs="Arial" w:hint="eastAsia"/>
          <w:sz w:val="24"/>
        </w:rPr>
        <w:t>国外、境外高校开展短期交换学习。</w:t>
      </w:r>
      <w:r w:rsidRPr="00C472E9">
        <w:rPr>
          <w:rFonts w:ascii="宋体" w:hAnsi="宋体" w:cs="Arial"/>
          <w:sz w:val="24"/>
        </w:rPr>
        <w:t>2014</w:t>
      </w:r>
      <w:r w:rsidRPr="00C472E9">
        <w:rPr>
          <w:rFonts w:ascii="宋体" w:hAnsi="宋体" w:cs="Arial" w:hint="eastAsia"/>
          <w:sz w:val="24"/>
        </w:rPr>
        <w:t>学年，外国语系选派</w:t>
      </w:r>
      <w:r w:rsidRPr="00C472E9">
        <w:rPr>
          <w:rFonts w:ascii="宋体" w:hAnsi="宋体" w:cs="Arial"/>
          <w:sz w:val="24"/>
        </w:rPr>
        <w:t>3</w:t>
      </w:r>
      <w:r w:rsidRPr="00C472E9">
        <w:rPr>
          <w:rFonts w:ascii="宋体" w:hAnsi="宋体" w:cs="Arial" w:hint="eastAsia"/>
          <w:sz w:val="24"/>
        </w:rPr>
        <w:t>名同学赴日本长崎外国语大学进行为期一年的交换学习。学院还加强与台港澳地区和国际青年的交流。</w:t>
      </w:r>
      <w:r w:rsidRPr="00C472E9">
        <w:rPr>
          <w:rFonts w:ascii="宋体" w:hAnsi="宋体" w:cs="Arial"/>
          <w:sz w:val="24"/>
        </w:rPr>
        <w:t>2014</w:t>
      </w:r>
      <w:r w:rsidRPr="00C472E9">
        <w:rPr>
          <w:rFonts w:ascii="宋体" w:hAnsi="宋体" w:cs="Arial" w:hint="eastAsia"/>
          <w:sz w:val="24"/>
        </w:rPr>
        <w:t>学</w:t>
      </w:r>
      <w:r w:rsidRPr="00C472E9">
        <w:rPr>
          <w:rFonts w:ascii="宋体" w:hAnsi="宋体" w:cs="宋体" w:hint="eastAsia"/>
          <w:sz w:val="24"/>
        </w:rPr>
        <w:t>年，学院选派了</w:t>
      </w:r>
      <w:r w:rsidRPr="00C472E9">
        <w:rPr>
          <w:rFonts w:ascii="宋体" w:hAnsi="宋体" w:cs="宋体"/>
          <w:sz w:val="24"/>
        </w:rPr>
        <w:t>54</w:t>
      </w:r>
      <w:r w:rsidRPr="00C472E9">
        <w:rPr>
          <w:rFonts w:ascii="宋体" w:hAnsi="宋体" w:cs="宋体" w:hint="eastAsia"/>
          <w:sz w:val="24"/>
        </w:rPr>
        <w:t>名学生分赴台湾嘉南药理科技大学和台湾修平科技大学开展为期</w:t>
      </w:r>
      <w:r w:rsidRPr="00C472E9">
        <w:rPr>
          <w:rFonts w:ascii="宋体" w:hAnsi="宋体" w:cs="Arial"/>
          <w:sz w:val="24"/>
        </w:rPr>
        <w:t>20</w:t>
      </w:r>
      <w:r w:rsidRPr="00C472E9">
        <w:rPr>
          <w:rFonts w:ascii="宋体" w:hAnsi="宋体" w:cs="Arial" w:hint="eastAsia"/>
          <w:sz w:val="24"/>
        </w:rPr>
        <w:t>多</w:t>
      </w:r>
      <w:r w:rsidRPr="00C472E9">
        <w:rPr>
          <w:rFonts w:ascii="宋体" w:hAnsi="宋体" w:cs="宋体" w:hint="eastAsia"/>
          <w:sz w:val="24"/>
        </w:rPr>
        <w:t>天的文化研习活动，开展学科实践，增进两岸学生中华文化认同感。</w:t>
      </w:r>
      <w:r w:rsidRPr="00C472E9">
        <w:rPr>
          <w:rFonts w:ascii="宋体" w:hAnsi="宋体" w:cs="宋体"/>
          <w:sz w:val="24"/>
        </w:rPr>
        <w:t>2014</w:t>
      </w:r>
      <w:r w:rsidRPr="00C472E9">
        <w:rPr>
          <w:rFonts w:ascii="宋体" w:hAnsi="宋体" w:cs="宋体" w:hint="eastAsia"/>
          <w:sz w:val="24"/>
        </w:rPr>
        <w:t>学年，美国南阿拉巴马大学留学生</w:t>
      </w:r>
      <w:r w:rsidRPr="00C472E9">
        <w:rPr>
          <w:rFonts w:ascii="宋体" w:hAnsi="宋体" w:cs="宋体"/>
          <w:sz w:val="24"/>
        </w:rPr>
        <w:t>Virginia Covington</w:t>
      </w:r>
      <w:r w:rsidRPr="00C472E9">
        <w:rPr>
          <w:rFonts w:ascii="宋体" w:hAnsi="宋体" w:cs="宋体" w:hint="eastAsia"/>
          <w:sz w:val="24"/>
        </w:rPr>
        <w:t>在我院进行了一学期的交流学习。首次接纳海外留学生来校学习，标志着学院国际化办学实现了新的突破。</w:t>
      </w:r>
    </w:p>
    <w:p w:rsidR="00683C33" w:rsidRPr="00C472E9" w:rsidRDefault="00683C33" w:rsidP="00C472E9">
      <w:pPr>
        <w:spacing w:line="400" w:lineRule="exact"/>
        <w:ind w:firstLineChars="250" w:firstLine="600"/>
        <w:rPr>
          <w:rFonts w:ascii="宋体" w:hAnsi="宋体"/>
          <w:sz w:val="24"/>
        </w:rPr>
      </w:pPr>
      <w:r w:rsidRPr="00C472E9">
        <w:rPr>
          <w:rFonts w:ascii="宋体" w:hAnsi="宋体" w:cs="Arial" w:hint="eastAsia"/>
          <w:sz w:val="24"/>
        </w:rPr>
        <w:t>学院还积极推动与国外、境外大学开展教师互访，开展讲座、授课等。</w:t>
      </w:r>
      <w:r w:rsidRPr="00C472E9">
        <w:rPr>
          <w:rFonts w:ascii="宋体" w:hAnsi="宋体" w:cs="Arial"/>
          <w:sz w:val="24"/>
        </w:rPr>
        <w:t>2014</w:t>
      </w:r>
      <w:r w:rsidRPr="00C472E9">
        <w:rPr>
          <w:rFonts w:ascii="宋体" w:hAnsi="宋体" w:cs="Arial" w:hint="eastAsia"/>
          <w:sz w:val="24"/>
        </w:rPr>
        <w:t>学年，美国特莱恩大学、美国南伊利诺伊斯大学、美国纽约州立大学布洛克分校、英国</w:t>
      </w:r>
      <w:r w:rsidRPr="00C472E9">
        <w:rPr>
          <w:rFonts w:ascii="宋体" w:hAnsi="宋体" w:cs="Arial" w:hint="eastAsia"/>
          <w:sz w:val="24"/>
        </w:rPr>
        <w:lastRenderedPageBreak/>
        <w:t>南威尔士大学、英国奇切斯特大学、澳大利亚迪肯大学、台湾中国科技大学、台湾台中科技大学、台湾修平科技大学等多所高校代表来访学院，洽谈合作办学事宜。并邀请到英国兰卡斯特大学、美国俄勒冈大学、美国波士顿大学、日本东京外国语大学、日本长崎县立大学、香港中文大学、台湾金门大学、台湾中央大学等多名专家学者为我院师生开展学术讲座，不断营造国际化学习氛围。</w:t>
      </w:r>
    </w:p>
    <w:p w:rsidR="00B4098C" w:rsidRPr="00B4098C" w:rsidRDefault="00B4098C" w:rsidP="0089285E">
      <w:pPr>
        <w:jc w:val="left"/>
        <w:outlineLvl w:val="0"/>
        <w:rPr>
          <w:rFonts w:ascii="黑体" w:eastAsia="黑体"/>
          <w:bCs/>
          <w:kern w:val="44"/>
          <w:sz w:val="30"/>
          <w:szCs w:val="30"/>
        </w:rPr>
      </w:pPr>
      <w:bookmarkStart w:id="77" w:name="_Toc435622764"/>
      <w:bookmarkStart w:id="78" w:name="_Toc435623822"/>
      <w:bookmarkEnd w:id="74"/>
      <w:bookmarkEnd w:id="75"/>
      <w:bookmarkEnd w:id="76"/>
      <w:r w:rsidRPr="00B4098C">
        <w:rPr>
          <w:rFonts w:ascii="黑体" w:eastAsia="黑体" w:hint="eastAsia"/>
          <w:bCs/>
          <w:kern w:val="44"/>
          <w:sz w:val="30"/>
          <w:szCs w:val="30"/>
        </w:rPr>
        <w:t>七、存在的主要问题及对策分析</w:t>
      </w:r>
      <w:bookmarkEnd w:id="77"/>
      <w:bookmarkEnd w:id="78"/>
    </w:p>
    <w:p w:rsidR="00683C33" w:rsidRPr="00617838" w:rsidRDefault="00683C33" w:rsidP="00707717">
      <w:pPr>
        <w:spacing w:line="400" w:lineRule="exact"/>
        <w:ind w:firstLineChars="200" w:firstLine="480"/>
        <w:rPr>
          <w:rFonts w:ascii="宋体" w:hAnsi="宋体" w:cs="宋体"/>
          <w:sz w:val="24"/>
        </w:rPr>
      </w:pPr>
      <w:r w:rsidRPr="00617838">
        <w:rPr>
          <w:rFonts w:ascii="宋体" w:hAnsi="宋体" w:cs="宋体"/>
          <w:sz w:val="24"/>
        </w:rPr>
        <w:t>2014</w:t>
      </w:r>
      <w:r w:rsidRPr="00617838">
        <w:rPr>
          <w:rFonts w:ascii="宋体" w:hAnsi="宋体" w:cs="宋体" w:hint="eastAsia"/>
          <w:sz w:val="24"/>
        </w:rPr>
        <w:t>学年，全院师生齐心协力，开拓进取，学院的办学定位和指导思想进一步明确，教学工作的中心地位进一步保证，各项教学工作健康有序开展，教学水平和教学质量稳步提高。取得成绩的同时我们也清醒地意识到自身不足和差距。为此，学院今后将加强以下几个方面的工作：</w:t>
      </w:r>
    </w:p>
    <w:p w:rsidR="00683C33" w:rsidRPr="00617838" w:rsidRDefault="00683C33" w:rsidP="00617838">
      <w:pPr>
        <w:spacing w:line="400" w:lineRule="exact"/>
        <w:ind w:firstLineChars="200" w:firstLine="480"/>
        <w:rPr>
          <w:rFonts w:ascii="宋体" w:hAnsi="宋体" w:cs="宋体"/>
          <w:sz w:val="24"/>
        </w:rPr>
      </w:pPr>
      <w:r w:rsidRPr="00617838">
        <w:rPr>
          <w:rFonts w:ascii="宋体" w:hAnsi="宋体" w:cs="宋体"/>
          <w:sz w:val="24"/>
        </w:rPr>
        <w:t xml:space="preserve">1. </w:t>
      </w:r>
      <w:r w:rsidRPr="00617838">
        <w:rPr>
          <w:rFonts w:ascii="宋体" w:hAnsi="宋体" w:cs="宋体" w:hint="eastAsia"/>
          <w:sz w:val="24"/>
        </w:rPr>
        <w:t>进一步完善各项教学条件。加大基础设施建设的投入力度，包括自有教学实验室建设、图书馆建设和校园绿化美化工程建设等、</w:t>
      </w:r>
    </w:p>
    <w:p w:rsidR="00683C33" w:rsidRPr="00617838" w:rsidRDefault="00683C33" w:rsidP="00617838">
      <w:pPr>
        <w:spacing w:line="400" w:lineRule="exact"/>
        <w:ind w:firstLineChars="200" w:firstLine="480"/>
        <w:rPr>
          <w:rFonts w:ascii="宋体" w:hAnsi="宋体" w:cs="宋体"/>
          <w:sz w:val="24"/>
        </w:rPr>
      </w:pPr>
      <w:r w:rsidRPr="00617838">
        <w:rPr>
          <w:rFonts w:ascii="宋体" w:hAnsi="宋体" w:cs="宋体"/>
          <w:sz w:val="24"/>
        </w:rPr>
        <w:t>2.</w:t>
      </w:r>
      <w:r w:rsidRPr="00617838">
        <w:rPr>
          <w:rFonts w:ascii="宋体" w:hAnsi="宋体" w:cs="宋体" w:hint="eastAsia"/>
          <w:sz w:val="24"/>
        </w:rPr>
        <w:t>进一步加强教师队伍建设。下一阶段，学院将采用引进与培养相结合的机制。一方面，大力引进不同地区不同高校毕业的高学历、高职称人才，增加具有博士研究生教师数量；另一方面，鼓励中青年教师攻读博士学位和参加较高层次的专业进修，不断提高自有教师的业务水平，选派教师赴国内外高水平大学交流访问，从而提高师资学历水平，改善学历、学缘结构，提高教师队伍的整体实力。</w:t>
      </w:r>
    </w:p>
    <w:p w:rsidR="00683C33" w:rsidRPr="00617838" w:rsidRDefault="00683C33" w:rsidP="00617838">
      <w:pPr>
        <w:spacing w:line="400" w:lineRule="exact"/>
        <w:ind w:firstLineChars="200" w:firstLine="480"/>
        <w:rPr>
          <w:rFonts w:ascii="宋体" w:hAnsi="宋体" w:cs="宋体"/>
          <w:sz w:val="24"/>
        </w:rPr>
      </w:pPr>
      <w:r w:rsidRPr="00617838">
        <w:rPr>
          <w:rFonts w:ascii="宋体" w:hAnsi="宋体" w:cs="宋体"/>
          <w:sz w:val="24"/>
        </w:rPr>
        <w:t>3.</w:t>
      </w:r>
      <w:r w:rsidRPr="00617838">
        <w:rPr>
          <w:rFonts w:ascii="宋体" w:hAnsi="宋体" w:cs="宋体" w:hint="eastAsia"/>
          <w:sz w:val="24"/>
        </w:rPr>
        <w:t>进一步提升教师的科研意识、科研水平和创新能力。明确优势研究领域，重点支持应用基础研究和应用研究，争取高水平研究成果和高级别科研项目与奖励；凝练学科专业方向，打造学术团队，为学校争取硕士学位授予权创造条件；加强产学研用合作，服务地方经济建设与社会发展。</w:t>
      </w:r>
    </w:p>
    <w:p w:rsidR="00D531DA" w:rsidRDefault="00683C33" w:rsidP="00617838">
      <w:pPr>
        <w:spacing w:line="400" w:lineRule="exact"/>
        <w:ind w:firstLineChars="200" w:firstLine="480"/>
        <w:rPr>
          <w:rFonts w:ascii="宋体" w:hAnsi="宋体" w:cs="宋体"/>
          <w:sz w:val="24"/>
        </w:rPr>
      </w:pPr>
      <w:r w:rsidRPr="00617838">
        <w:rPr>
          <w:rFonts w:ascii="宋体" w:hAnsi="宋体" w:cs="宋体"/>
          <w:sz w:val="24"/>
        </w:rPr>
        <w:t>4.</w:t>
      </w:r>
      <w:r w:rsidRPr="00617838">
        <w:rPr>
          <w:rFonts w:ascii="宋体" w:hAnsi="宋体" w:cs="宋体" w:hint="eastAsia"/>
          <w:sz w:val="24"/>
        </w:rPr>
        <w:t>进一步加强学风建设，激发学生学习的积极性、主动性和自觉性，营造浓厚的学习氛围和创新创业环境。</w:t>
      </w: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Default="004D601C" w:rsidP="00617838">
      <w:pPr>
        <w:spacing w:line="400" w:lineRule="exact"/>
        <w:ind w:firstLineChars="200" w:firstLine="480"/>
        <w:rPr>
          <w:rFonts w:ascii="宋体" w:hAnsi="宋体" w:cs="宋体"/>
          <w:sz w:val="24"/>
        </w:rPr>
      </w:pPr>
    </w:p>
    <w:p w:rsidR="004D601C" w:rsidRPr="00A541E5" w:rsidRDefault="004D601C" w:rsidP="004D601C">
      <w:pPr>
        <w:pStyle w:val="1"/>
        <w:spacing w:after="0"/>
        <w:rPr>
          <w:rFonts w:ascii="宋体" w:hAnsi="宋体"/>
          <w:sz w:val="32"/>
          <w:szCs w:val="32"/>
        </w:rPr>
      </w:pPr>
      <w:bookmarkStart w:id="79" w:name="_Toc402443951"/>
      <w:bookmarkStart w:id="80" w:name="_Toc403059279"/>
      <w:bookmarkStart w:id="81" w:name="_Toc403059366"/>
      <w:bookmarkStart w:id="82" w:name="_Toc403059472"/>
      <w:bookmarkStart w:id="83" w:name="_Toc403059750"/>
      <w:bookmarkStart w:id="84" w:name="_Toc435623823"/>
      <w:r w:rsidRPr="00A541E5">
        <w:rPr>
          <w:rFonts w:ascii="宋体" w:hAnsi="宋体" w:hint="eastAsia"/>
          <w:sz w:val="32"/>
          <w:szCs w:val="32"/>
        </w:rPr>
        <w:lastRenderedPageBreak/>
        <w:t>附：福州大学至诚学院2014年本科教学质量报告支撑数据</w:t>
      </w:r>
      <w:bookmarkEnd w:id="79"/>
      <w:bookmarkEnd w:id="80"/>
      <w:bookmarkEnd w:id="81"/>
      <w:bookmarkEnd w:id="82"/>
      <w:bookmarkEnd w:id="83"/>
      <w:bookmarkEnd w:id="84"/>
    </w:p>
    <w:p w:rsidR="004D601C" w:rsidRPr="00A541E5" w:rsidRDefault="004D601C" w:rsidP="004D601C">
      <w:pPr>
        <w:spacing w:line="360" w:lineRule="auto"/>
        <w:rPr>
          <w:rFonts w:ascii="宋体" w:hAnsi="宋体"/>
          <w:b/>
          <w:sz w:val="28"/>
          <w:szCs w:val="28"/>
        </w:rPr>
      </w:pPr>
      <w:bookmarkStart w:id="85" w:name="_Toc402443952"/>
      <w:bookmarkStart w:id="86" w:name="_Toc402443470"/>
      <w:r w:rsidRPr="00A541E5">
        <w:rPr>
          <w:rFonts w:ascii="宋体" w:hAnsi="宋体" w:hint="eastAsia"/>
          <w:b/>
          <w:bCs/>
          <w:sz w:val="28"/>
          <w:szCs w:val="28"/>
        </w:rPr>
        <w:t>1.</w:t>
      </w:r>
      <w:r w:rsidRPr="00A541E5">
        <w:rPr>
          <w:rFonts w:ascii="宋体" w:hAnsi="宋体" w:hint="eastAsia"/>
          <w:b/>
          <w:sz w:val="28"/>
          <w:szCs w:val="28"/>
        </w:rPr>
        <w:t>本科生占全日制在校生总数的比例</w:t>
      </w:r>
      <w:bookmarkEnd w:id="85"/>
      <w:bookmarkEnd w:id="86"/>
    </w:p>
    <w:p w:rsidR="004D601C" w:rsidRPr="00A541E5" w:rsidRDefault="004D601C" w:rsidP="00867DB1">
      <w:pPr>
        <w:spacing w:line="360" w:lineRule="auto"/>
        <w:ind w:firstLineChars="196" w:firstLine="470"/>
        <w:rPr>
          <w:rFonts w:ascii="宋体" w:hAnsi="宋体"/>
          <w:sz w:val="24"/>
        </w:rPr>
      </w:pPr>
      <w:r w:rsidRPr="00A541E5">
        <w:rPr>
          <w:rFonts w:ascii="宋体" w:hAnsi="宋体" w:hint="eastAsia"/>
          <w:sz w:val="24"/>
        </w:rPr>
        <w:t>学院的全日制在校生总数为11753人，本科生所占比例为100%。</w:t>
      </w:r>
    </w:p>
    <w:p w:rsidR="004D601C" w:rsidRPr="00A541E5" w:rsidRDefault="004D601C" w:rsidP="004D601C">
      <w:pPr>
        <w:spacing w:line="360" w:lineRule="auto"/>
        <w:rPr>
          <w:rFonts w:ascii="宋体" w:hAnsi="宋体"/>
          <w:b/>
          <w:sz w:val="28"/>
          <w:szCs w:val="28"/>
        </w:rPr>
      </w:pPr>
      <w:bookmarkStart w:id="87" w:name="_Toc402443953"/>
      <w:bookmarkStart w:id="88" w:name="_Toc402443471"/>
      <w:r w:rsidRPr="00A541E5">
        <w:rPr>
          <w:rFonts w:ascii="宋体" w:hAnsi="宋体" w:hint="eastAsia"/>
          <w:b/>
          <w:sz w:val="28"/>
          <w:szCs w:val="28"/>
        </w:rPr>
        <w:t>2.教师数量及结构</w:t>
      </w:r>
      <w:bookmarkEnd w:id="87"/>
      <w:bookmarkEnd w:id="88"/>
    </w:p>
    <w:p w:rsidR="004D601C" w:rsidRPr="00A541E5" w:rsidRDefault="004D601C" w:rsidP="00180B1D">
      <w:pPr>
        <w:spacing w:beforeLines="50"/>
        <w:ind w:firstLineChars="200" w:firstLine="420"/>
        <w:jc w:val="center"/>
        <w:rPr>
          <w:rFonts w:ascii="宋体" w:hAnsi="宋体" w:cs="Arial"/>
          <w:bCs/>
          <w:szCs w:val="21"/>
        </w:rPr>
      </w:pPr>
      <w:bookmarkStart w:id="89" w:name="_Toc402443954"/>
      <w:bookmarkStart w:id="90" w:name="_Toc402443472"/>
      <w:r w:rsidRPr="00A541E5">
        <w:rPr>
          <w:rFonts w:ascii="宋体" w:hAnsi="宋体" w:cs="Arial" w:hint="eastAsia"/>
          <w:bCs/>
          <w:szCs w:val="21"/>
        </w:rPr>
        <w:t>师资队伍年龄结构情况（2014年）</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tblGrid>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年龄</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60</w:t>
            </w:r>
            <w:r w:rsidRPr="00A541E5">
              <w:rPr>
                <w:rFonts w:ascii="宋体" w:hAnsi="宋体" w:cs="Arial" w:hint="eastAsia"/>
                <w:bCs/>
                <w:szCs w:val="21"/>
              </w:rPr>
              <w:t>岁以上</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46-60</w:t>
            </w:r>
            <w:r w:rsidRPr="00A541E5">
              <w:rPr>
                <w:rFonts w:ascii="宋体" w:hAnsi="宋体" w:cs="Arial" w:hint="eastAsia"/>
                <w:bCs/>
                <w:szCs w:val="21"/>
              </w:rPr>
              <w:t>岁</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36-45</w:t>
            </w:r>
            <w:r w:rsidRPr="00A541E5">
              <w:rPr>
                <w:rFonts w:ascii="宋体" w:hAnsi="宋体" w:cs="Arial" w:hint="eastAsia"/>
                <w:bCs/>
                <w:szCs w:val="21"/>
              </w:rPr>
              <w:t>岁</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35</w:t>
            </w:r>
            <w:r w:rsidRPr="00A541E5">
              <w:rPr>
                <w:rFonts w:ascii="宋体" w:hAnsi="宋体" w:cs="Arial" w:hint="eastAsia"/>
                <w:bCs/>
                <w:szCs w:val="21"/>
              </w:rPr>
              <w:t>岁以下</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合计</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人数（名）</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41</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251</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463</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393</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1148</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比例（</w:t>
            </w:r>
            <w:r w:rsidRPr="00A541E5">
              <w:rPr>
                <w:rFonts w:ascii="宋体" w:hAnsi="宋体" w:cs="Arial"/>
                <w:bCs/>
                <w:szCs w:val="21"/>
              </w:rPr>
              <w:t>%</w:t>
            </w:r>
            <w:r w:rsidRPr="00A541E5">
              <w:rPr>
                <w:rFonts w:ascii="宋体" w:hAnsi="宋体" w:cs="Arial" w:hint="eastAsia"/>
                <w:bCs/>
                <w:szCs w:val="21"/>
              </w:rPr>
              <w:t>）</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3.57%</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21.86%</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40.33%</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34.24%</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100%</w:t>
            </w:r>
          </w:p>
        </w:tc>
      </w:tr>
    </w:tbl>
    <w:p w:rsidR="004D601C" w:rsidRPr="00A541E5" w:rsidRDefault="004D601C" w:rsidP="00180B1D">
      <w:pPr>
        <w:spacing w:beforeLines="50"/>
        <w:ind w:firstLineChars="200" w:firstLine="420"/>
        <w:jc w:val="center"/>
        <w:rPr>
          <w:rFonts w:ascii="宋体" w:hAnsi="宋体" w:cs="Arial"/>
          <w:bCs/>
          <w:szCs w:val="21"/>
        </w:rPr>
      </w:pPr>
      <w:r w:rsidRPr="00A541E5">
        <w:rPr>
          <w:rFonts w:ascii="宋体" w:hAnsi="宋体" w:cs="Arial" w:hint="eastAsia"/>
          <w:bCs/>
          <w:szCs w:val="21"/>
        </w:rPr>
        <w:t>师资队伍学位结构情况（2014年）</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tblGrid>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学位</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专科</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本科</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硕士</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博士</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合计</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人数（名）</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11</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256</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531</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350</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1148</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比例（</w:t>
            </w:r>
            <w:r w:rsidRPr="00A541E5">
              <w:rPr>
                <w:rFonts w:ascii="宋体" w:hAnsi="宋体" w:cs="Arial"/>
                <w:bCs/>
                <w:szCs w:val="21"/>
              </w:rPr>
              <w:t>%</w:t>
            </w:r>
            <w:r w:rsidRPr="00A541E5">
              <w:rPr>
                <w:rFonts w:ascii="宋体" w:hAnsi="宋体" w:cs="Arial" w:hint="eastAsia"/>
                <w:bCs/>
                <w:szCs w:val="21"/>
              </w:rPr>
              <w:t>）</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0.95%</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tabs>
                <w:tab w:val="center" w:pos="463"/>
              </w:tabs>
              <w:jc w:val="center"/>
              <w:rPr>
                <w:rFonts w:ascii="宋体" w:hAnsi="宋体" w:cs="Arial"/>
                <w:bCs/>
                <w:szCs w:val="21"/>
              </w:rPr>
            </w:pPr>
            <w:r w:rsidRPr="00A541E5">
              <w:rPr>
                <w:rFonts w:ascii="宋体" w:hAnsi="宋体" w:cs="Arial" w:hint="eastAsia"/>
                <w:bCs/>
                <w:szCs w:val="21"/>
              </w:rPr>
              <w:t>22.30%</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46.26%</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30.49%</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100.00%</w:t>
            </w:r>
          </w:p>
        </w:tc>
      </w:tr>
    </w:tbl>
    <w:p w:rsidR="004D601C" w:rsidRPr="00A541E5" w:rsidRDefault="004D601C" w:rsidP="00180B1D">
      <w:pPr>
        <w:spacing w:beforeLines="50"/>
        <w:ind w:firstLineChars="200" w:firstLine="420"/>
        <w:jc w:val="center"/>
        <w:rPr>
          <w:rFonts w:ascii="宋体" w:hAnsi="宋体" w:cs="Arial"/>
          <w:bCs/>
          <w:szCs w:val="21"/>
        </w:rPr>
      </w:pPr>
      <w:r w:rsidRPr="00A541E5">
        <w:rPr>
          <w:rFonts w:ascii="宋体" w:hAnsi="宋体" w:cs="Arial" w:hint="eastAsia"/>
          <w:bCs/>
          <w:szCs w:val="21"/>
        </w:rPr>
        <w:t>师资队伍职称结构情况（2014年）</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gridCol w:w="1046"/>
      </w:tblGrid>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职称</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教授</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副教授</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讲师</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助教</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未定级</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合计</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人数（名）</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133</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348</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541</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99</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27</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1148</w:t>
            </w:r>
          </w:p>
        </w:tc>
      </w:tr>
      <w:tr w:rsidR="004D601C" w:rsidRPr="00A541E5" w:rsidTr="009A52E5">
        <w:trPr>
          <w:jc w:val="center"/>
        </w:trPr>
        <w:tc>
          <w:tcPr>
            <w:tcW w:w="1427"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比例（</w:t>
            </w:r>
            <w:r w:rsidRPr="00A541E5">
              <w:rPr>
                <w:rFonts w:ascii="宋体" w:hAnsi="宋体" w:cs="Arial"/>
                <w:bCs/>
                <w:szCs w:val="21"/>
              </w:rPr>
              <w:t>%</w:t>
            </w:r>
            <w:r w:rsidRPr="00A541E5">
              <w:rPr>
                <w:rFonts w:ascii="宋体" w:hAnsi="宋体" w:cs="Arial" w:hint="eastAsia"/>
                <w:bCs/>
                <w:szCs w:val="21"/>
              </w:rPr>
              <w:t>）</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11.59%</w:t>
            </w:r>
          </w:p>
        </w:tc>
        <w:tc>
          <w:tcPr>
            <w:tcW w:w="1142"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30.31%</w:t>
            </w:r>
          </w:p>
        </w:tc>
        <w:tc>
          <w:tcPr>
            <w:tcW w:w="114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47.13%</w:t>
            </w:r>
          </w:p>
        </w:tc>
        <w:tc>
          <w:tcPr>
            <w:tcW w:w="1318"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8.62%</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hint="eastAsia"/>
                <w:bCs/>
                <w:szCs w:val="21"/>
              </w:rPr>
              <w:t>2.35%</w:t>
            </w:r>
          </w:p>
        </w:tc>
        <w:tc>
          <w:tcPr>
            <w:tcW w:w="1046" w:type="dxa"/>
            <w:tcBorders>
              <w:top w:val="single" w:sz="4" w:space="0" w:color="auto"/>
              <w:left w:val="single" w:sz="4" w:space="0" w:color="auto"/>
              <w:bottom w:val="single" w:sz="4" w:space="0" w:color="auto"/>
              <w:right w:val="single" w:sz="4" w:space="0" w:color="auto"/>
            </w:tcBorders>
          </w:tcPr>
          <w:p w:rsidR="004D601C" w:rsidRPr="00A541E5" w:rsidRDefault="004D601C" w:rsidP="009A52E5">
            <w:pPr>
              <w:jc w:val="center"/>
              <w:rPr>
                <w:rFonts w:ascii="宋体" w:hAnsi="宋体" w:cs="Arial"/>
                <w:bCs/>
                <w:szCs w:val="21"/>
              </w:rPr>
            </w:pPr>
            <w:r w:rsidRPr="00A541E5">
              <w:rPr>
                <w:rFonts w:ascii="宋体" w:hAnsi="宋体" w:cs="Arial"/>
                <w:bCs/>
                <w:szCs w:val="21"/>
              </w:rPr>
              <w:t>100.00%</w:t>
            </w:r>
          </w:p>
        </w:tc>
      </w:tr>
    </w:tbl>
    <w:p w:rsidR="004D601C" w:rsidRPr="00A541E5" w:rsidRDefault="004D601C" w:rsidP="004D601C">
      <w:pPr>
        <w:spacing w:line="360" w:lineRule="auto"/>
        <w:rPr>
          <w:rFonts w:ascii="宋体" w:hAnsi="宋体"/>
          <w:b/>
          <w:sz w:val="28"/>
          <w:szCs w:val="28"/>
        </w:rPr>
      </w:pPr>
      <w:r w:rsidRPr="00A541E5">
        <w:rPr>
          <w:rFonts w:ascii="宋体" w:hAnsi="宋体" w:hint="eastAsia"/>
          <w:b/>
          <w:sz w:val="28"/>
          <w:szCs w:val="28"/>
        </w:rPr>
        <w:t>3.专业设置情况</w:t>
      </w:r>
      <w:bookmarkEnd w:id="89"/>
      <w:bookmarkEnd w:id="90"/>
    </w:p>
    <w:p w:rsidR="004D601C" w:rsidRPr="00FA1E75" w:rsidRDefault="004D601C" w:rsidP="004D601C">
      <w:pPr>
        <w:widowControl/>
        <w:spacing w:line="400" w:lineRule="exact"/>
        <w:ind w:firstLineChars="200" w:firstLine="480"/>
        <w:jc w:val="left"/>
        <w:rPr>
          <w:rFonts w:ascii="宋体" w:hAnsi="宋体" w:cs="宋体"/>
          <w:kern w:val="0"/>
          <w:sz w:val="24"/>
        </w:rPr>
      </w:pPr>
      <w:bookmarkStart w:id="91" w:name="_Toc402443955"/>
      <w:bookmarkStart w:id="92" w:name="_Toc402443473"/>
      <w:r w:rsidRPr="00FA1E75">
        <w:rPr>
          <w:rFonts w:ascii="宋体" w:hAnsi="宋体" w:cs="宋体"/>
          <w:kern w:val="0"/>
          <w:sz w:val="24"/>
        </w:rPr>
        <w:t>本科专业总数为45个，2015年本科招生专业总数为39个。2015年新增工业工程、网络与新媒体两个专业；停招信息与管理系统、微电子学、微电子科学与工程、生物技术、资源环境与城乡规划管理等8个专业。</w:t>
      </w:r>
    </w:p>
    <w:p w:rsidR="004D601C" w:rsidRPr="00A541E5" w:rsidRDefault="004D601C" w:rsidP="004D601C">
      <w:pPr>
        <w:spacing w:line="360" w:lineRule="auto"/>
        <w:rPr>
          <w:rFonts w:ascii="宋体" w:hAnsi="宋体"/>
          <w:b/>
          <w:sz w:val="28"/>
          <w:szCs w:val="28"/>
        </w:rPr>
      </w:pPr>
      <w:r w:rsidRPr="00A541E5">
        <w:rPr>
          <w:rFonts w:ascii="宋体" w:hAnsi="宋体" w:hint="eastAsia"/>
          <w:b/>
          <w:sz w:val="28"/>
          <w:szCs w:val="28"/>
        </w:rPr>
        <w:t>4.生师比</w:t>
      </w:r>
      <w:bookmarkEnd w:id="91"/>
      <w:bookmarkEnd w:id="92"/>
    </w:p>
    <w:p w:rsidR="004D601C" w:rsidRPr="00A541E5" w:rsidRDefault="004D601C" w:rsidP="004D601C">
      <w:pPr>
        <w:spacing w:line="360" w:lineRule="auto"/>
        <w:ind w:firstLineChars="200" w:firstLine="480"/>
        <w:rPr>
          <w:rFonts w:ascii="宋体" w:hAnsi="宋体"/>
          <w:sz w:val="24"/>
        </w:rPr>
      </w:pPr>
      <w:r w:rsidRPr="00A541E5">
        <w:rPr>
          <w:rFonts w:ascii="宋体" w:hAnsi="宋体" w:hint="eastAsia"/>
          <w:sz w:val="24"/>
        </w:rPr>
        <w:t>2014年，学院专任教师203人，外聘教师945人，按外聘教师数乘以0.5的系数计算，学院2014年的生师比为17：1。</w:t>
      </w:r>
    </w:p>
    <w:p w:rsidR="004D601C" w:rsidRPr="00A541E5" w:rsidRDefault="004D601C" w:rsidP="004D601C">
      <w:pPr>
        <w:spacing w:line="360" w:lineRule="auto"/>
        <w:rPr>
          <w:rFonts w:ascii="宋体" w:hAnsi="宋体"/>
          <w:b/>
          <w:sz w:val="28"/>
          <w:szCs w:val="28"/>
        </w:rPr>
      </w:pPr>
      <w:bookmarkStart w:id="93" w:name="_Toc402443956"/>
      <w:bookmarkStart w:id="94" w:name="_Toc402443474"/>
      <w:r w:rsidRPr="00A541E5">
        <w:rPr>
          <w:rFonts w:ascii="宋体" w:hAnsi="宋体" w:hint="eastAsia"/>
          <w:b/>
          <w:sz w:val="28"/>
          <w:szCs w:val="28"/>
        </w:rPr>
        <w:t>5.生均教学科研仪器设备值</w:t>
      </w:r>
      <w:bookmarkEnd w:id="93"/>
      <w:bookmarkEnd w:id="94"/>
    </w:p>
    <w:p w:rsidR="004D601C" w:rsidRPr="00A541E5" w:rsidRDefault="004D601C" w:rsidP="00867DB1">
      <w:pPr>
        <w:spacing w:line="360" w:lineRule="auto"/>
        <w:ind w:firstLineChars="200" w:firstLine="480"/>
        <w:rPr>
          <w:rFonts w:ascii="宋体" w:hAnsi="宋体"/>
          <w:sz w:val="24"/>
        </w:rPr>
      </w:pPr>
      <w:r w:rsidRPr="00A541E5">
        <w:rPr>
          <w:rFonts w:ascii="宋体" w:hAnsi="宋体" w:hint="eastAsia"/>
          <w:sz w:val="24"/>
        </w:rPr>
        <w:t>2014年，学院教学、科研仪器设备资产总值为4590.26万元，生均3905元。</w:t>
      </w:r>
    </w:p>
    <w:p w:rsidR="004D601C" w:rsidRPr="00A541E5" w:rsidRDefault="004D601C" w:rsidP="004D601C">
      <w:pPr>
        <w:spacing w:line="360" w:lineRule="auto"/>
        <w:rPr>
          <w:rFonts w:ascii="宋体" w:hAnsi="宋体"/>
          <w:b/>
          <w:sz w:val="28"/>
          <w:szCs w:val="28"/>
        </w:rPr>
      </w:pPr>
      <w:bookmarkStart w:id="95" w:name="_Toc402443957"/>
      <w:bookmarkStart w:id="96" w:name="_Toc402443475"/>
      <w:r w:rsidRPr="00A541E5">
        <w:rPr>
          <w:rFonts w:ascii="宋体" w:hAnsi="宋体" w:hint="eastAsia"/>
          <w:b/>
          <w:sz w:val="28"/>
          <w:szCs w:val="28"/>
        </w:rPr>
        <w:t>6.当年新增教学科研仪器设备值</w:t>
      </w:r>
      <w:bookmarkEnd w:id="95"/>
      <w:bookmarkEnd w:id="96"/>
    </w:p>
    <w:p w:rsidR="004D601C" w:rsidRPr="00A541E5" w:rsidRDefault="004D601C" w:rsidP="004D601C">
      <w:pPr>
        <w:spacing w:line="360" w:lineRule="auto"/>
        <w:ind w:firstLineChars="200" w:firstLine="480"/>
        <w:rPr>
          <w:rFonts w:ascii="宋体" w:hAnsi="宋体"/>
          <w:sz w:val="24"/>
        </w:rPr>
      </w:pPr>
      <w:r w:rsidRPr="00A541E5">
        <w:rPr>
          <w:rFonts w:ascii="宋体" w:hAnsi="宋体" w:hint="eastAsia"/>
          <w:sz w:val="24"/>
        </w:rPr>
        <w:t>2014年，学院新增教学科研仪器设备值733.67万元，较上一年度增长2.43%。</w:t>
      </w:r>
    </w:p>
    <w:p w:rsidR="004D601C" w:rsidRPr="00A541E5" w:rsidRDefault="004D601C" w:rsidP="004D601C">
      <w:pPr>
        <w:spacing w:line="360" w:lineRule="auto"/>
        <w:rPr>
          <w:rFonts w:ascii="宋体" w:hAnsi="宋体"/>
          <w:b/>
          <w:sz w:val="28"/>
          <w:szCs w:val="28"/>
        </w:rPr>
      </w:pPr>
      <w:bookmarkStart w:id="97" w:name="_Toc402443958"/>
      <w:bookmarkStart w:id="98" w:name="_Toc402443476"/>
      <w:r w:rsidRPr="00A541E5">
        <w:rPr>
          <w:rFonts w:ascii="宋体" w:hAnsi="宋体" w:hint="eastAsia"/>
          <w:b/>
          <w:sz w:val="28"/>
          <w:szCs w:val="28"/>
        </w:rPr>
        <w:t>7.生均图书</w:t>
      </w:r>
      <w:bookmarkEnd w:id="97"/>
      <w:bookmarkEnd w:id="98"/>
    </w:p>
    <w:p w:rsidR="004D601C" w:rsidRPr="007108E8" w:rsidRDefault="004D601C" w:rsidP="004D601C">
      <w:pPr>
        <w:spacing w:line="360" w:lineRule="auto"/>
        <w:ind w:firstLineChars="200" w:firstLine="480"/>
        <w:rPr>
          <w:rFonts w:ascii="宋体" w:hAnsi="宋体"/>
          <w:sz w:val="24"/>
        </w:rPr>
      </w:pPr>
      <w:r w:rsidRPr="007108E8">
        <w:rPr>
          <w:rFonts w:ascii="宋体" w:hAnsi="宋体" w:hint="eastAsia"/>
          <w:sz w:val="24"/>
        </w:rPr>
        <w:t>2014年，学院图书馆馆藏纸质图书49.07万册，生均图书42册。</w:t>
      </w:r>
    </w:p>
    <w:p w:rsidR="004D601C" w:rsidRPr="00A541E5" w:rsidRDefault="004D601C" w:rsidP="004D601C">
      <w:pPr>
        <w:spacing w:line="360" w:lineRule="auto"/>
        <w:rPr>
          <w:rFonts w:ascii="宋体" w:hAnsi="宋体"/>
          <w:b/>
          <w:sz w:val="28"/>
          <w:szCs w:val="28"/>
        </w:rPr>
      </w:pPr>
      <w:bookmarkStart w:id="99" w:name="_Toc402443959"/>
      <w:bookmarkStart w:id="100" w:name="_Toc402443477"/>
      <w:r w:rsidRPr="00A541E5">
        <w:rPr>
          <w:rFonts w:ascii="宋体" w:hAnsi="宋体" w:hint="eastAsia"/>
          <w:b/>
          <w:sz w:val="28"/>
          <w:szCs w:val="28"/>
        </w:rPr>
        <w:t>8.电子图书、电子期刊总数</w:t>
      </w:r>
      <w:bookmarkEnd w:id="99"/>
      <w:bookmarkEnd w:id="100"/>
    </w:p>
    <w:p w:rsidR="004D601C" w:rsidRPr="007108E8" w:rsidRDefault="004D601C" w:rsidP="004D601C">
      <w:pPr>
        <w:spacing w:line="360" w:lineRule="auto"/>
        <w:ind w:firstLineChars="200" w:firstLine="480"/>
        <w:rPr>
          <w:rFonts w:ascii="宋体" w:hAnsi="宋体"/>
          <w:sz w:val="24"/>
        </w:rPr>
      </w:pPr>
      <w:r w:rsidRPr="007108E8">
        <w:rPr>
          <w:rFonts w:ascii="宋体" w:hAnsi="宋体" w:hint="eastAsia"/>
          <w:sz w:val="24"/>
        </w:rPr>
        <w:lastRenderedPageBreak/>
        <w:t>2014年，学院图书馆拥有电子图书206.99万种，电子期刊39487种，纸质期刊628种。</w:t>
      </w:r>
    </w:p>
    <w:p w:rsidR="004D601C" w:rsidRPr="00A541E5" w:rsidRDefault="004D601C" w:rsidP="004D601C">
      <w:pPr>
        <w:spacing w:line="360" w:lineRule="auto"/>
        <w:rPr>
          <w:rFonts w:ascii="宋体" w:hAnsi="宋体"/>
          <w:b/>
          <w:sz w:val="28"/>
          <w:szCs w:val="28"/>
        </w:rPr>
      </w:pPr>
      <w:bookmarkStart w:id="101" w:name="_Toc402443960"/>
      <w:bookmarkStart w:id="102" w:name="_Toc402443478"/>
      <w:r w:rsidRPr="00A541E5">
        <w:rPr>
          <w:rFonts w:ascii="宋体" w:hAnsi="宋体" w:hint="eastAsia"/>
          <w:b/>
          <w:sz w:val="28"/>
          <w:szCs w:val="28"/>
        </w:rPr>
        <w:t>9.生均教学行政用房（其中生均实验室面积）</w:t>
      </w:r>
      <w:bookmarkEnd w:id="101"/>
      <w:bookmarkEnd w:id="102"/>
      <w:r w:rsidRPr="00A541E5">
        <w:rPr>
          <w:rFonts w:ascii="宋体" w:hAnsi="宋体" w:hint="eastAsia"/>
          <w:b/>
          <w:sz w:val="28"/>
          <w:szCs w:val="28"/>
        </w:rPr>
        <w:t xml:space="preserve"> </w:t>
      </w:r>
    </w:p>
    <w:p w:rsidR="004D601C" w:rsidRPr="00180B1D" w:rsidRDefault="004D601C" w:rsidP="004D601C">
      <w:pPr>
        <w:spacing w:line="360" w:lineRule="auto"/>
        <w:ind w:firstLineChars="200" w:firstLine="480"/>
        <w:rPr>
          <w:rFonts w:ascii="宋体" w:hAnsi="宋体"/>
          <w:sz w:val="24"/>
        </w:rPr>
      </w:pPr>
      <w:r w:rsidRPr="007108E8">
        <w:rPr>
          <w:rFonts w:ascii="宋体" w:hAnsi="宋体" w:hint="eastAsia"/>
          <w:sz w:val="24"/>
        </w:rPr>
        <w:t>2014年，学校拥有教学科研及辅助用房160137平方米，行政用房18212平方米，共计178349平方米，生均15.17平方米；</w:t>
      </w:r>
      <w:r>
        <w:rPr>
          <w:rFonts w:ascii="宋体" w:hAnsi="宋体" w:hint="eastAsia"/>
          <w:sz w:val="24"/>
        </w:rPr>
        <w:t>其中</w:t>
      </w:r>
      <w:r w:rsidRPr="007108E8">
        <w:rPr>
          <w:rFonts w:ascii="宋体" w:hAnsi="宋体" w:hint="eastAsia"/>
          <w:sz w:val="24"/>
        </w:rPr>
        <w:t>实验室实习场所35345平方米，</w:t>
      </w:r>
      <w:r w:rsidRPr="00180B1D">
        <w:rPr>
          <w:rFonts w:ascii="宋体" w:hAnsi="宋体" w:hint="eastAsia"/>
          <w:sz w:val="24"/>
        </w:rPr>
        <w:t>生均3.00平方米。</w:t>
      </w:r>
    </w:p>
    <w:p w:rsidR="004D601C" w:rsidRPr="00A541E5" w:rsidRDefault="004D601C" w:rsidP="004D601C">
      <w:pPr>
        <w:spacing w:line="360" w:lineRule="auto"/>
        <w:rPr>
          <w:rFonts w:ascii="宋体" w:hAnsi="宋体"/>
          <w:b/>
          <w:sz w:val="28"/>
          <w:szCs w:val="28"/>
        </w:rPr>
      </w:pPr>
      <w:bookmarkStart w:id="103" w:name="_Toc402443961"/>
      <w:bookmarkStart w:id="104" w:name="_Toc402443479"/>
      <w:r w:rsidRPr="00A541E5">
        <w:rPr>
          <w:rFonts w:ascii="宋体" w:hAnsi="宋体" w:hint="eastAsia"/>
          <w:b/>
          <w:sz w:val="28"/>
          <w:szCs w:val="28"/>
        </w:rPr>
        <w:t>10.生均本科教学日常支出</w:t>
      </w:r>
      <w:bookmarkEnd w:id="103"/>
      <w:bookmarkEnd w:id="104"/>
    </w:p>
    <w:p w:rsidR="004D601C" w:rsidRPr="007108E8" w:rsidRDefault="004D601C" w:rsidP="004D601C">
      <w:pPr>
        <w:spacing w:line="360" w:lineRule="auto"/>
        <w:ind w:firstLineChars="200" w:firstLine="480"/>
        <w:rPr>
          <w:rFonts w:ascii="宋体" w:hAnsi="宋体"/>
          <w:sz w:val="24"/>
        </w:rPr>
      </w:pPr>
      <w:r w:rsidRPr="007108E8">
        <w:rPr>
          <w:rFonts w:ascii="宋体" w:hAnsi="宋体" w:hint="eastAsia"/>
          <w:sz w:val="24"/>
        </w:rPr>
        <w:t>2014年，教育经费支出共计</w:t>
      </w:r>
      <w:r>
        <w:rPr>
          <w:rFonts w:ascii="宋体" w:hAnsi="宋体" w:hint="eastAsia"/>
          <w:sz w:val="24"/>
        </w:rPr>
        <w:t>4080.97</w:t>
      </w:r>
      <w:r w:rsidRPr="007108E8">
        <w:rPr>
          <w:rFonts w:ascii="宋体" w:hAnsi="宋体" w:hint="eastAsia"/>
          <w:sz w:val="24"/>
        </w:rPr>
        <w:t>万元</w:t>
      </w:r>
      <w:r>
        <w:rPr>
          <w:rFonts w:ascii="宋体" w:hAnsi="宋体" w:hint="eastAsia"/>
          <w:sz w:val="24"/>
        </w:rPr>
        <w:t>，生均</w:t>
      </w:r>
      <w:r w:rsidRPr="007108E8">
        <w:rPr>
          <w:rFonts w:ascii="宋体" w:hAnsi="宋体" w:hint="eastAsia"/>
          <w:sz w:val="24"/>
        </w:rPr>
        <w:t>本科教学日常支出</w:t>
      </w:r>
      <w:r>
        <w:rPr>
          <w:rFonts w:ascii="宋体" w:hAnsi="宋体" w:hint="eastAsia"/>
          <w:sz w:val="24"/>
        </w:rPr>
        <w:t>3500</w:t>
      </w:r>
      <w:r w:rsidRPr="007108E8">
        <w:rPr>
          <w:rFonts w:ascii="宋体" w:hAnsi="宋体" w:hint="eastAsia"/>
          <w:sz w:val="24"/>
        </w:rPr>
        <w:t>元。</w:t>
      </w:r>
    </w:p>
    <w:p w:rsidR="004D601C" w:rsidRPr="00A541E5" w:rsidRDefault="004D601C" w:rsidP="004D601C">
      <w:pPr>
        <w:spacing w:line="360" w:lineRule="auto"/>
        <w:rPr>
          <w:rFonts w:ascii="宋体" w:hAnsi="宋体"/>
          <w:b/>
          <w:sz w:val="28"/>
          <w:szCs w:val="28"/>
        </w:rPr>
      </w:pPr>
      <w:bookmarkStart w:id="105" w:name="_Toc402443962"/>
      <w:bookmarkStart w:id="106" w:name="_Toc402443480"/>
      <w:r w:rsidRPr="00A541E5">
        <w:rPr>
          <w:rFonts w:ascii="宋体" w:hAnsi="宋体" w:hint="eastAsia"/>
          <w:b/>
          <w:sz w:val="28"/>
          <w:szCs w:val="28"/>
        </w:rPr>
        <w:t>11.本科专项教学经费</w:t>
      </w:r>
      <w:bookmarkEnd w:id="105"/>
      <w:bookmarkEnd w:id="106"/>
    </w:p>
    <w:p w:rsidR="004D601C" w:rsidRPr="007108E8" w:rsidRDefault="004D601C" w:rsidP="004D601C">
      <w:pPr>
        <w:spacing w:line="360" w:lineRule="auto"/>
        <w:rPr>
          <w:rFonts w:ascii="宋体" w:hAnsi="宋体"/>
          <w:sz w:val="24"/>
        </w:rPr>
      </w:pPr>
      <w:r w:rsidRPr="00A541E5">
        <w:rPr>
          <w:rFonts w:ascii="宋体" w:hAnsi="宋体" w:hint="eastAsia"/>
          <w:sz w:val="28"/>
          <w:szCs w:val="28"/>
        </w:rPr>
        <w:t xml:space="preserve">   </w:t>
      </w:r>
      <w:r w:rsidRPr="007108E8">
        <w:rPr>
          <w:rFonts w:ascii="宋体" w:hAnsi="宋体" w:hint="eastAsia"/>
          <w:sz w:val="24"/>
        </w:rPr>
        <w:t xml:space="preserve"> 2014年，本科专项教学经费为</w:t>
      </w:r>
      <w:r>
        <w:rPr>
          <w:rFonts w:ascii="宋体" w:hAnsi="宋体" w:hint="eastAsia"/>
          <w:sz w:val="24"/>
        </w:rPr>
        <w:t>471</w:t>
      </w:r>
      <w:r w:rsidRPr="007108E8">
        <w:rPr>
          <w:rFonts w:ascii="宋体" w:hAnsi="宋体" w:hint="eastAsia"/>
          <w:sz w:val="24"/>
        </w:rPr>
        <w:t>万元。</w:t>
      </w:r>
    </w:p>
    <w:p w:rsidR="004D601C" w:rsidRPr="00A541E5" w:rsidRDefault="004D601C" w:rsidP="004D601C">
      <w:pPr>
        <w:spacing w:line="360" w:lineRule="auto"/>
        <w:rPr>
          <w:rFonts w:ascii="宋体" w:hAnsi="宋体"/>
          <w:b/>
          <w:sz w:val="28"/>
          <w:szCs w:val="28"/>
        </w:rPr>
      </w:pPr>
      <w:bookmarkStart w:id="107" w:name="_Toc402443963"/>
      <w:bookmarkStart w:id="108" w:name="_Toc402443481"/>
      <w:r w:rsidRPr="00A541E5">
        <w:rPr>
          <w:rFonts w:ascii="宋体" w:hAnsi="宋体" w:hint="eastAsia"/>
          <w:b/>
          <w:sz w:val="28"/>
          <w:szCs w:val="28"/>
        </w:rPr>
        <w:t>12.生均本科实验经费</w:t>
      </w:r>
      <w:bookmarkEnd w:id="107"/>
      <w:bookmarkEnd w:id="108"/>
    </w:p>
    <w:p w:rsidR="004D601C" w:rsidRPr="007108E8" w:rsidRDefault="004D601C" w:rsidP="004D601C">
      <w:pPr>
        <w:spacing w:line="360" w:lineRule="auto"/>
        <w:rPr>
          <w:rFonts w:ascii="宋体" w:hAnsi="宋体"/>
          <w:sz w:val="24"/>
        </w:rPr>
      </w:pPr>
      <w:r w:rsidRPr="00A541E5">
        <w:rPr>
          <w:rFonts w:ascii="宋体" w:hAnsi="宋体" w:hint="eastAsia"/>
          <w:sz w:val="28"/>
          <w:szCs w:val="28"/>
        </w:rPr>
        <w:t xml:space="preserve">   </w:t>
      </w:r>
      <w:r w:rsidRPr="007108E8">
        <w:rPr>
          <w:rFonts w:ascii="宋体" w:hAnsi="宋体" w:hint="eastAsia"/>
          <w:sz w:val="24"/>
        </w:rPr>
        <w:t xml:space="preserve"> 2014年，本科实践教学支出共计</w:t>
      </w:r>
      <w:r>
        <w:rPr>
          <w:rFonts w:ascii="宋体" w:hAnsi="宋体" w:hint="eastAsia"/>
          <w:sz w:val="24"/>
        </w:rPr>
        <w:t>182.07</w:t>
      </w:r>
      <w:r w:rsidRPr="007108E8">
        <w:rPr>
          <w:rFonts w:ascii="宋体" w:hAnsi="宋体" w:hint="eastAsia"/>
          <w:sz w:val="24"/>
        </w:rPr>
        <w:t>万元，其中本科实验经费支出</w:t>
      </w:r>
      <w:r>
        <w:rPr>
          <w:rFonts w:ascii="宋体" w:hAnsi="宋体" w:hint="eastAsia"/>
          <w:sz w:val="24"/>
        </w:rPr>
        <w:t>123.47</w:t>
      </w:r>
      <w:r w:rsidRPr="007108E8">
        <w:rPr>
          <w:rFonts w:ascii="宋体" w:hAnsi="宋体" w:hint="eastAsia"/>
          <w:sz w:val="24"/>
        </w:rPr>
        <w:t>万元，生均</w:t>
      </w:r>
      <w:r>
        <w:rPr>
          <w:rFonts w:ascii="宋体" w:hAnsi="宋体" w:hint="eastAsia"/>
          <w:sz w:val="24"/>
        </w:rPr>
        <w:t>105</w:t>
      </w:r>
      <w:r w:rsidRPr="007108E8">
        <w:rPr>
          <w:rFonts w:ascii="宋体" w:hAnsi="宋体" w:hint="eastAsia"/>
          <w:sz w:val="24"/>
        </w:rPr>
        <w:t>元。</w:t>
      </w:r>
    </w:p>
    <w:p w:rsidR="004D601C" w:rsidRPr="00A541E5" w:rsidRDefault="004D601C" w:rsidP="004D601C">
      <w:pPr>
        <w:spacing w:line="360" w:lineRule="auto"/>
        <w:rPr>
          <w:rFonts w:ascii="宋体" w:hAnsi="宋体"/>
          <w:b/>
          <w:sz w:val="28"/>
          <w:szCs w:val="28"/>
        </w:rPr>
      </w:pPr>
      <w:bookmarkStart w:id="109" w:name="_Toc402443964"/>
      <w:bookmarkStart w:id="110" w:name="_Toc402443482"/>
      <w:r w:rsidRPr="00A541E5">
        <w:rPr>
          <w:rFonts w:ascii="宋体" w:hAnsi="宋体" w:hint="eastAsia"/>
          <w:b/>
          <w:sz w:val="28"/>
          <w:szCs w:val="28"/>
        </w:rPr>
        <w:t>13.生均本科实习经费</w:t>
      </w:r>
      <w:bookmarkEnd w:id="109"/>
      <w:bookmarkEnd w:id="110"/>
    </w:p>
    <w:p w:rsidR="004D601C" w:rsidRPr="007108E8" w:rsidRDefault="004D601C" w:rsidP="004D601C">
      <w:pPr>
        <w:spacing w:line="360" w:lineRule="auto"/>
        <w:ind w:firstLineChars="200" w:firstLine="480"/>
        <w:rPr>
          <w:rFonts w:ascii="宋体" w:hAnsi="宋体"/>
          <w:sz w:val="24"/>
        </w:rPr>
      </w:pPr>
      <w:r w:rsidRPr="007108E8">
        <w:rPr>
          <w:rFonts w:ascii="宋体" w:hAnsi="宋体" w:hint="eastAsia"/>
          <w:sz w:val="24"/>
        </w:rPr>
        <w:t>2014年，本科实践教学支出共计</w:t>
      </w:r>
      <w:r>
        <w:rPr>
          <w:rFonts w:ascii="宋体" w:hAnsi="宋体" w:hint="eastAsia"/>
          <w:sz w:val="24"/>
        </w:rPr>
        <w:t>182.07</w:t>
      </w:r>
      <w:r w:rsidRPr="007108E8">
        <w:rPr>
          <w:rFonts w:ascii="宋体" w:hAnsi="宋体" w:hint="eastAsia"/>
          <w:sz w:val="24"/>
        </w:rPr>
        <w:t>万元，其中本科实习经费支出</w:t>
      </w:r>
      <w:r>
        <w:rPr>
          <w:rFonts w:ascii="宋体" w:hAnsi="宋体" w:hint="eastAsia"/>
          <w:sz w:val="24"/>
        </w:rPr>
        <w:t>58.6</w:t>
      </w:r>
      <w:r w:rsidRPr="007108E8">
        <w:rPr>
          <w:rFonts w:ascii="宋体" w:hAnsi="宋体" w:hint="eastAsia"/>
          <w:sz w:val="24"/>
        </w:rPr>
        <w:t>万元，生均</w:t>
      </w:r>
      <w:r>
        <w:rPr>
          <w:rFonts w:ascii="宋体" w:hAnsi="宋体" w:hint="eastAsia"/>
          <w:sz w:val="24"/>
        </w:rPr>
        <w:t>50</w:t>
      </w:r>
      <w:r w:rsidRPr="007108E8">
        <w:rPr>
          <w:rFonts w:ascii="宋体" w:hAnsi="宋体" w:hint="eastAsia"/>
          <w:sz w:val="24"/>
        </w:rPr>
        <w:t>元。</w:t>
      </w:r>
    </w:p>
    <w:p w:rsidR="004D601C" w:rsidRPr="00A541E5" w:rsidRDefault="004D601C" w:rsidP="004D601C">
      <w:pPr>
        <w:spacing w:line="360" w:lineRule="auto"/>
        <w:rPr>
          <w:rFonts w:ascii="宋体" w:hAnsi="宋体"/>
          <w:b/>
          <w:sz w:val="28"/>
          <w:szCs w:val="28"/>
        </w:rPr>
      </w:pPr>
      <w:bookmarkStart w:id="111" w:name="_Toc402443965"/>
      <w:bookmarkStart w:id="112" w:name="_Toc402443483"/>
      <w:r w:rsidRPr="00A541E5">
        <w:rPr>
          <w:rFonts w:ascii="宋体" w:hAnsi="宋体" w:hint="eastAsia"/>
          <w:b/>
          <w:sz w:val="28"/>
          <w:szCs w:val="28"/>
        </w:rPr>
        <w:t>14.学校开设课程总门数</w:t>
      </w:r>
      <w:bookmarkEnd w:id="111"/>
      <w:bookmarkEnd w:id="112"/>
    </w:p>
    <w:p w:rsidR="004D601C" w:rsidRPr="007108E8" w:rsidRDefault="004D601C" w:rsidP="004D601C">
      <w:pPr>
        <w:spacing w:line="360" w:lineRule="auto"/>
        <w:ind w:firstLineChars="200" w:firstLine="480"/>
        <w:rPr>
          <w:rFonts w:ascii="宋体" w:hAnsi="宋体"/>
          <w:sz w:val="24"/>
        </w:rPr>
      </w:pPr>
      <w:bookmarkStart w:id="113" w:name="_Toc402443966"/>
      <w:bookmarkStart w:id="114" w:name="_Toc402443484"/>
      <w:r w:rsidRPr="007108E8">
        <w:rPr>
          <w:rFonts w:ascii="宋体" w:hAnsi="宋体" w:hint="eastAsia"/>
          <w:sz w:val="24"/>
        </w:rPr>
        <w:t>2014-2015学年，学校共开设1194门课程。</w:t>
      </w:r>
    </w:p>
    <w:p w:rsidR="004D601C" w:rsidRPr="00A541E5" w:rsidRDefault="004D601C" w:rsidP="004D601C">
      <w:pPr>
        <w:spacing w:line="360" w:lineRule="auto"/>
        <w:rPr>
          <w:rFonts w:ascii="宋体" w:hAnsi="宋体"/>
          <w:b/>
          <w:sz w:val="28"/>
          <w:szCs w:val="28"/>
        </w:rPr>
      </w:pPr>
      <w:r w:rsidRPr="00A541E5">
        <w:rPr>
          <w:rFonts w:ascii="宋体" w:hAnsi="宋体" w:hint="eastAsia"/>
          <w:b/>
          <w:sz w:val="28"/>
          <w:szCs w:val="28"/>
        </w:rPr>
        <w:t>15.实践教学学分占总学分比例</w:t>
      </w:r>
      <w:bookmarkStart w:id="115" w:name="_Toc402443967"/>
      <w:bookmarkStart w:id="116" w:name="_Toc402443485"/>
      <w:bookmarkEnd w:id="113"/>
      <w:bookmarkEnd w:id="114"/>
    </w:p>
    <w:p w:rsidR="004D601C" w:rsidRPr="00A541E5" w:rsidRDefault="004D601C" w:rsidP="004D601C">
      <w:pPr>
        <w:spacing w:line="360" w:lineRule="auto"/>
        <w:rPr>
          <w:rFonts w:ascii="宋体" w:hAnsi="宋体"/>
          <w:b/>
          <w:sz w:val="28"/>
          <w:szCs w:val="28"/>
        </w:rPr>
      </w:pPr>
      <w:r w:rsidRPr="00A541E5">
        <w:rPr>
          <w:rFonts w:ascii="宋体" w:hAnsi="宋体" w:hint="eastAsia"/>
          <w:b/>
          <w:sz w:val="28"/>
          <w:szCs w:val="28"/>
        </w:rPr>
        <w:t>16.选修课学分占总学分比例</w:t>
      </w:r>
      <w:bookmarkEnd w:id="115"/>
      <w:bookmarkEnd w:id="116"/>
    </w:p>
    <w:p w:rsidR="004D601C" w:rsidRPr="00A541E5" w:rsidRDefault="004D601C" w:rsidP="004D601C">
      <w:pPr>
        <w:spacing w:line="360" w:lineRule="auto"/>
        <w:jc w:val="center"/>
        <w:rPr>
          <w:rFonts w:ascii="宋体" w:hAnsi="宋体"/>
          <w:b/>
          <w:sz w:val="28"/>
          <w:szCs w:val="28"/>
        </w:rPr>
      </w:pPr>
      <w:r w:rsidRPr="00A541E5">
        <w:rPr>
          <w:rFonts w:ascii="宋体" w:hAnsi="宋体" w:hint="eastAsia"/>
          <w:b/>
          <w:sz w:val="28"/>
          <w:szCs w:val="28"/>
        </w:rPr>
        <w:t>福州大学至诚学院实践教学学分和选修课学分占总学分比例一览表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1137"/>
        <w:gridCol w:w="1235"/>
        <w:gridCol w:w="1237"/>
        <w:gridCol w:w="1237"/>
        <w:gridCol w:w="1235"/>
      </w:tblGrid>
      <w:tr w:rsidR="004D601C" w:rsidRPr="00713DD6" w:rsidTr="009A52E5">
        <w:trPr>
          <w:trHeight w:val="255"/>
        </w:trPr>
        <w:tc>
          <w:tcPr>
            <w:tcW w:w="1676" w:type="pct"/>
            <w:vMerge w:val="restart"/>
            <w:tcBorders>
              <w:top w:val="single" w:sz="4" w:space="0" w:color="auto"/>
              <w:left w:val="single" w:sz="4" w:space="0" w:color="auto"/>
              <w:bottom w:val="single" w:sz="4" w:space="0" w:color="auto"/>
              <w:right w:val="single" w:sz="4" w:space="0" w:color="auto"/>
            </w:tcBorders>
            <w:shd w:val="clear" w:color="auto" w:fill="C6D9F1"/>
            <w:noWrap/>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校内专业名称</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C6D9F1"/>
            <w:noWrap/>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学分总数</w:t>
            </w:r>
          </w:p>
        </w:tc>
        <w:tc>
          <w:tcPr>
            <w:tcW w:w="1351"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实践课</w:t>
            </w:r>
          </w:p>
        </w:tc>
        <w:tc>
          <w:tcPr>
            <w:tcW w:w="1352" w:type="pct"/>
            <w:gridSpan w:val="2"/>
            <w:tcBorders>
              <w:top w:val="single" w:sz="4" w:space="0" w:color="auto"/>
              <w:left w:val="single" w:sz="4" w:space="0" w:color="auto"/>
              <w:bottom w:val="single" w:sz="4" w:space="0" w:color="auto"/>
              <w:right w:val="single" w:sz="4" w:space="0" w:color="auto"/>
            </w:tcBorders>
            <w:shd w:val="clear" w:color="auto" w:fill="C6D9F1"/>
            <w:noWrap/>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选修课</w:t>
            </w:r>
          </w:p>
        </w:tc>
      </w:tr>
      <w:tr w:rsidR="004D601C" w:rsidRPr="00713DD6" w:rsidTr="009A52E5">
        <w:trPr>
          <w:trHeight w:val="255"/>
        </w:trPr>
        <w:tc>
          <w:tcPr>
            <w:tcW w:w="0" w:type="auto"/>
            <w:vMerge/>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left"/>
              <w:rPr>
                <w:rFonts w:ascii="宋体" w:hAnsi="宋体"/>
                <w:b/>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left"/>
              <w:rPr>
                <w:rFonts w:ascii="宋体" w:hAnsi="宋体"/>
                <w:b/>
                <w:szCs w:val="21"/>
              </w:rPr>
            </w:pPr>
          </w:p>
        </w:tc>
        <w:tc>
          <w:tcPr>
            <w:tcW w:w="675" w:type="pct"/>
            <w:tcBorders>
              <w:top w:val="single" w:sz="4" w:space="0" w:color="auto"/>
              <w:left w:val="single" w:sz="4" w:space="0" w:color="auto"/>
              <w:bottom w:val="single" w:sz="4" w:space="0" w:color="auto"/>
              <w:right w:val="single" w:sz="4" w:space="0" w:color="auto"/>
            </w:tcBorders>
            <w:shd w:val="clear" w:color="auto" w:fill="C6D9F1"/>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学分</w:t>
            </w:r>
          </w:p>
        </w:tc>
        <w:tc>
          <w:tcPr>
            <w:tcW w:w="675" w:type="pct"/>
            <w:tcBorders>
              <w:top w:val="single" w:sz="4" w:space="0" w:color="auto"/>
              <w:left w:val="single" w:sz="4" w:space="0" w:color="auto"/>
              <w:bottom w:val="single" w:sz="4" w:space="0" w:color="auto"/>
              <w:right w:val="single" w:sz="4" w:space="0" w:color="auto"/>
            </w:tcBorders>
            <w:shd w:val="clear" w:color="auto" w:fill="C6D9F1"/>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比例</w:t>
            </w:r>
          </w:p>
        </w:tc>
        <w:tc>
          <w:tcPr>
            <w:tcW w:w="676" w:type="pct"/>
            <w:tcBorders>
              <w:top w:val="single" w:sz="4" w:space="0" w:color="auto"/>
              <w:left w:val="single" w:sz="4" w:space="0" w:color="auto"/>
              <w:bottom w:val="single" w:sz="4" w:space="0" w:color="auto"/>
              <w:right w:val="single" w:sz="4" w:space="0" w:color="auto"/>
            </w:tcBorders>
            <w:shd w:val="clear" w:color="auto" w:fill="C6D9F1"/>
            <w:noWrap/>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学分</w:t>
            </w:r>
          </w:p>
        </w:tc>
        <w:tc>
          <w:tcPr>
            <w:tcW w:w="676" w:type="pct"/>
            <w:tcBorders>
              <w:top w:val="single" w:sz="4" w:space="0" w:color="auto"/>
              <w:left w:val="single" w:sz="4" w:space="0" w:color="auto"/>
              <w:bottom w:val="single" w:sz="4" w:space="0" w:color="auto"/>
              <w:right w:val="single" w:sz="4" w:space="0" w:color="auto"/>
            </w:tcBorders>
            <w:shd w:val="clear" w:color="auto" w:fill="C6D9F1"/>
            <w:noWrap/>
            <w:vAlign w:val="center"/>
          </w:tcPr>
          <w:p w:rsidR="004D601C" w:rsidRPr="00713DD6" w:rsidRDefault="004D601C" w:rsidP="009A52E5">
            <w:pPr>
              <w:spacing w:line="360" w:lineRule="auto"/>
              <w:jc w:val="center"/>
              <w:rPr>
                <w:rFonts w:ascii="宋体" w:hAnsi="宋体"/>
                <w:b/>
                <w:szCs w:val="21"/>
              </w:rPr>
            </w:pPr>
            <w:r w:rsidRPr="00713DD6">
              <w:rPr>
                <w:rFonts w:ascii="宋体" w:hAnsi="宋体" w:hint="eastAsia"/>
                <w:b/>
                <w:szCs w:val="21"/>
              </w:rPr>
              <w:t>比例</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金融工程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国际经济与贸易</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汉语言文学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27</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15%</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英语</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35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19.44%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日语</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21.5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11.94%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lastRenderedPageBreak/>
              <w:t>商务英语</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30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16.67%</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应用化学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人文地理与城乡规划</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46</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25.56%</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资源环境与城乡规划管理</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21.5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11.94%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生物技术</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24.5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13.61%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微电子学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机械设计制造及其自动化</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材料成型及控制工程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工业设计</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过程装备与控制工程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车辆工程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材料科学与工程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14.16%</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材料化学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24</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13.33%</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电气工程及其自动化</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17</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9.44%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电子信息工程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11.38%</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电子科学与技术</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23.5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13.05%</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通信工程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11.38%</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微电子科学与工程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自动化</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17</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9.44%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计算机科学与技术</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24</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13.33%</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软件工程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24</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13.33%</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网络工程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数字媒体技术</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土木工程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化学工程与工艺</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包装工程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11.11%</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环境工程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12.22%</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食品科学与工程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23.5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13.05%</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建筑学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55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8.40%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安全工程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21.5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11.94%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生物工程</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21.5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11.94%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信息管理与信息系统</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13.88%</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工程管理</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10.27%</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财务管理</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jc w:val="center"/>
              <w:rPr>
                <w:rFonts w:ascii="宋体" w:hAnsi="宋体"/>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行政管理</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40.5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23</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12.77%</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物流管理</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21.5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11.94%</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音乐学</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47.5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26.38%</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36</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20%</w:t>
            </w:r>
          </w:p>
        </w:tc>
      </w:tr>
      <w:tr w:rsidR="004D601C" w:rsidRPr="00713DD6" w:rsidTr="009A52E5">
        <w:trPr>
          <w:trHeight w:val="255"/>
        </w:trPr>
        <w:tc>
          <w:tcPr>
            <w:tcW w:w="1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产品设计</w:t>
            </w:r>
          </w:p>
        </w:tc>
        <w:tc>
          <w:tcPr>
            <w:tcW w:w="622"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180</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45</w:t>
            </w:r>
          </w:p>
        </w:tc>
        <w:tc>
          <w:tcPr>
            <w:tcW w:w="675" w:type="pct"/>
            <w:tcBorders>
              <w:top w:val="single" w:sz="4" w:space="0" w:color="auto"/>
              <w:left w:val="single" w:sz="4" w:space="0" w:color="auto"/>
              <w:bottom w:val="single" w:sz="4" w:space="0" w:color="auto"/>
              <w:right w:val="single" w:sz="4" w:space="0" w:color="auto"/>
            </w:tcBorders>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25%</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19</w:t>
            </w:r>
          </w:p>
        </w:tc>
        <w:tc>
          <w:tcPr>
            <w:tcW w:w="676" w:type="pct"/>
            <w:tcBorders>
              <w:top w:val="single" w:sz="4" w:space="0" w:color="auto"/>
              <w:left w:val="single" w:sz="4" w:space="0" w:color="auto"/>
              <w:bottom w:val="single" w:sz="4" w:space="0" w:color="auto"/>
              <w:right w:val="single" w:sz="4" w:space="0" w:color="auto"/>
            </w:tcBorders>
            <w:noWrap/>
            <w:vAlign w:val="center"/>
          </w:tcPr>
          <w:p w:rsidR="004D601C" w:rsidRPr="00713DD6" w:rsidRDefault="004D601C" w:rsidP="009A52E5">
            <w:pPr>
              <w:widowControl/>
              <w:jc w:val="center"/>
              <w:rPr>
                <w:rFonts w:ascii="宋体" w:hAnsi="宋体" w:cs="宋体"/>
                <w:kern w:val="0"/>
                <w:szCs w:val="21"/>
              </w:rPr>
            </w:pPr>
            <w:r w:rsidRPr="00713DD6">
              <w:rPr>
                <w:rFonts w:ascii="宋体" w:hAnsi="宋体" w:cs="宋体" w:hint="eastAsia"/>
                <w:kern w:val="0"/>
                <w:szCs w:val="21"/>
              </w:rPr>
              <w:t>10.55%</w:t>
            </w:r>
          </w:p>
        </w:tc>
      </w:tr>
    </w:tbl>
    <w:p w:rsidR="004D601C" w:rsidRPr="00A541E5" w:rsidRDefault="004D601C" w:rsidP="004D601C">
      <w:pPr>
        <w:spacing w:line="360" w:lineRule="auto"/>
        <w:rPr>
          <w:rFonts w:ascii="宋体" w:hAnsi="宋体"/>
          <w:b/>
          <w:sz w:val="28"/>
          <w:szCs w:val="28"/>
        </w:rPr>
      </w:pPr>
      <w:bookmarkStart w:id="117" w:name="_Toc402443968"/>
      <w:bookmarkStart w:id="118" w:name="_Toc402443486"/>
      <w:r w:rsidRPr="00A541E5">
        <w:rPr>
          <w:rFonts w:ascii="宋体" w:hAnsi="宋体" w:hint="eastAsia"/>
          <w:b/>
          <w:sz w:val="28"/>
          <w:szCs w:val="28"/>
        </w:rPr>
        <w:t>17.主讲本科课程的教授占教授总数的比例</w:t>
      </w:r>
      <w:bookmarkEnd w:id="117"/>
      <w:bookmarkEnd w:id="118"/>
    </w:p>
    <w:p w:rsidR="004D601C" w:rsidRPr="004A238E" w:rsidRDefault="004D601C" w:rsidP="004D601C">
      <w:pPr>
        <w:spacing w:line="360" w:lineRule="auto"/>
        <w:rPr>
          <w:rFonts w:ascii="宋体" w:hAnsi="宋体"/>
          <w:sz w:val="24"/>
        </w:rPr>
      </w:pPr>
      <w:r w:rsidRPr="00A541E5">
        <w:rPr>
          <w:rFonts w:ascii="宋体" w:hAnsi="宋体" w:hint="eastAsia"/>
          <w:sz w:val="28"/>
          <w:szCs w:val="28"/>
        </w:rPr>
        <w:t xml:space="preserve">   </w:t>
      </w:r>
      <w:r w:rsidR="00867DB1">
        <w:rPr>
          <w:rFonts w:ascii="宋体" w:hAnsi="宋体" w:hint="eastAsia"/>
          <w:sz w:val="28"/>
          <w:szCs w:val="28"/>
        </w:rPr>
        <w:t xml:space="preserve"> </w:t>
      </w:r>
      <w:r w:rsidRPr="004A238E">
        <w:rPr>
          <w:rFonts w:ascii="宋体" w:hAnsi="宋体" w:hint="eastAsia"/>
          <w:sz w:val="24"/>
        </w:rPr>
        <w:t>2014年，主讲本科课程的教授占教授总数的比例为69.2%。</w:t>
      </w:r>
    </w:p>
    <w:p w:rsidR="004D601C" w:rsidRPr="00A541E5" w:rsidRDefault="004D601C" w:rsidP="004D601C">
      <w:pPr>
        <w:spacing w:line="360" w:lineRule="auto"/>
        <w:rPr>
          <w:rFonts w:ascii="宋体" w:hAnsi="宋体"/>
          <w:b/>
          <w:sz w:val="28"/>
          <w:szCs w:val="28"/>
        </w:rPr>
      </w:pPr>
      <w:bookmarkStart w:id="119" w:name="_Toc402443969"/>
      <w:bookmarkStart w:id="120" w:name="_Toc402443487"/>
      <w:r w:rsidRPr="00A541E5">
        <w:rPr>
          <w:rFonts w:ascii="宋体" w:hAnsi="宋体" w:hint="eastAsia"/>
          <w:b/>
          <w:sz w:val="28"/>
          <w:szCs w:val="28"/>
        </w:rPr>
        <w:t>18.教授讲授本科课程占课程总门次数的比例</w:t>
      </w:r>
      <w:bookmarkEnd w:id="119"/>
      <w:bookmarkEnd w:id="120"/>
    </w:p>
    <w:p w:rsidR="004D601C" w:rsidRPr="004A238E" w:rsidRDefault="004D601C" w:rsidP="00867DB1">
      <w:pPr>
        <w:spacing w:line="360" w:lineRule="auto"/>
        <w:ind w:firstLineChars="200" w:firstLine="480"/>
        <w:rPr>
          <w:rFonts w:ascii="宋体" w:hAnsi="宋体"/>
          <w:sz w:val="24"/>
        </w:rPr>
      </w:pPr>
      <w:r w:rsidRPr="004A238E">
        <w:rPr>
          <w:rFonts w:ascii="宋体" w:hAnsi="宋体" w:hint="eastAsia"/>
          <w:sz w:val="24"/>
        </w:rPr>
        <w:lastRenderedPageBreak/>
        <w:t>2014年，教授讲授本科课程占课程总门次数的比例为1.8%。</w:t>
      </w:r>
    </w:p>
    <w:p w:rsidR="004D601C" w:rsidRPr="00A541E5" w:rsidRDefault="004D601C" w:rsidP="004D601C">
      <w:pPr>
        <w:spacing w:line="360" w:lineRule="auto"/>
        <w:rPr>
          <w:rFonts w:ascii="宋体" w:hAnsi="宋体"/>
          <w:b/>
          <w:sz w:val="28"/>
          <w:szCs w:val="28"/>
        </w:rPr>
      </w:pPr>
      <w:bookmarkStart w:id="121" w:name="_Toc402443970"/>
      <w:bookmarkStart w:id="122" w:name="_Toc402443488"/>
      <w:r w:rsidRPr="00A541E5">
        <w:rPr>
          <w:rFonts w:ascii="宋体" w:hAnsi="宋体" w:hint="eastAsia"/>
          <w:b/>
          <w:sz w:val="28"/>
          <w:szCs w:val="28"/>
        </w:rPr>
        <w:t>19.应届本科生毕业率</w:t>
      </w:r>
      <w:bookmarkEnd w:id="121"/>
      <w:bookmarkEnd w:id="122"/>
    </w:p>
    <w:p w:rsidR="004D601C" w:rsidRPr="004A238E" w:rsidRDefault="004D601C" w:rsidP="00867DB1">
      <w:pPr>
        <w:spacing w:line="360" w:lineRule="auto"/>
        <w:ind w:firstLineChars="200" w:firstLine="480"/>
        <w:rPr>
          <w:rFonts w:ascii="宋体" w:hAnsi="宋体"/>
          <w:sz w:val="24"/>
        </w:rPr>
      </w:pPr>
      <w:r w:rsidRPr="004A238E">
        <w:rPr>
          <w:rFonts w:ascii="宋体" w:hAnsi="宋体" w:hint="eastAsia"/>
          <w:sz w:val="24"/>
        </w:rPr>
        <w:t>2014年，本科</w:t>
      </w:r>
      <w:r w:rsidR="00E461C5">
        <w:rPr>
          <w:rFonts w:ascii="宋体" w:hAnsi="宋体" w:hint="eastAsia"/>
          <w:sz w:val="24"/>
        </w:rPr>
        <w:t>学生数</w:t>
      </w:r>
      <w:r w:rsidRPr="004A238E">
        <w:rPr>
          <w:rFonts w:ascii="宋体" w:hAnsi="宋体" w:hint="eastAsia"/>
          <w:sz w:val="24"/>
        </w:rPr>
        <w:t>为</w:t>
      </w:r>
      <w:r w:rsidR="00346350">
        <w:rPr>
          <w:rFonts w:ascii="宋体" w:hAnsi="宋体" w:hint="eastAsia"/>
          <w:sz w:val="24"/>
        </w:rPr>
        <w:t>2700</w:t>
      </w:r>
      <w:r w:rsidRPr="004A238E">
        <w:rPr>
          <w:rFonts w:ascii="宋体" w:hAnsi="宋体" w:hint="eastAsia"/>
          <w:sz w:val="24"/>
        </w:rPr>
        <w:t>人，其中</w:t>
      </w:r>
      <w:r w:rsidR="00346350">
        <w:rPr>
          <w:rFonts w:ascii="宋体" w:hAnsi="宋体" w:hint="eastAsia"/>
          <w:sz w:val="24"/>
        </w:rPr>
        <w:t>2478</w:t>
      </w:r>
      <w:r w:rsidRPr="004A238E">
        <w:rPr>
          <w:rFonts w:ascii="宋体" w:hAnsi="宋体" w:hint="eastAsia"/>
          <w:sz w:val="24"/>
        </w:rPr>
        <w:t>人获得毕业证书，毕业率为</w:t>
      </w:r>
      <w:r w:rsidR="00346350">
        <w:rPr>
          <w:rFonts w:ascii="宋体" w:hAnsi="宋体" w:hint="eastAsia"/>
          <w:sz w:val="24"/>
        </w:rPr>
        <w:t>91.77</w:t>
      </w:r>
      <w:r w:rsidRPr="004A238E">
        <w:rPr>
          <w:rFonts w:ascii="宋体" w:hAnsi="宋体" w:hint="eastAsia"/>
          <w:sz w:val="24"/>
        </w:rPr>
        <w:t>%。</w:t>
      </w:r>
    </w:p>
    <w:p w:rsidR="004D601C" w:rsidRPr="00A541E5" w:rsidRDefault="004D601C" w:rsidP="004D601C">
      <w:pPr>
        <w:spacing w:line="360" w:lineRule="auto"/>
        <w:rPr>
          <w:rFonts w:ascii="宋体" w:hAnsi="宋体"/>
          <w:b/>
          <w:sz w:val="28"/>
          <w:szCs w:val="28"/>
        </w:rPr>
      </w:pPr>
      <w:bookmarkStart w:id="123" w:name="_Toc402443971"/>
      <w:bookmarkStart w:id="124" w:name="_Toc402443489"/>
      <w:r w:rsidRPr="00A541E5">
        <w:rPr>
          <w:rFonts w:ascii="宋体" w:hAnsi="宋体" w:hint="eastAsia"/>
          <w:b/>
          <w:sz w:val="28"/>
          <w:szCs w:val="28"/>
        </w:rPr>
        <w:t>20.应届本科生学位授予率</w:t>
      </w:r>
      <w:bookmarkEnd w:id="123"/>
      <w:bookmarkEnd w:id="124"/>
    </w:p>
    <w:p w:rsidR="004D601C" w:rsidRPr="004A238E" w:rsidRDefault="004D601C" w:rsidP="00867DB1">
      <w:pPr>
        <w:spacing w:line="360" w:lineRule="auto"/>
        <w:ind w:firstLineChars="200" w:firstLine="480"/>
        <w:rPr>
          <w:rFonts w:ascii="宋体" w:hAnsi="宋体"/>
          <w:sz w:val="24"/>
        </w:rPr>
      </w:pPr>
      <w:r w:rsidRPr="004A238E">
        <w:rPr>
          <w:rFonts w:ascii="宋体" w:hAnsi="宋体" w:hint="eastAsia"/>
          <w:sz w:val="24"/>
        </w:rPr>
        <w:t>2014年，本科毕业生为</w:t>
      </w:r>
      <w:r w:rsidR="00346350">
        <w:rPr>
          <w:rFonts w:ascii="宋体" w:hAnsi="宋体" w:hint="eastAsia"/>
          <w:sz w:val="24"/>
        </w:rPr>
        <w:t>2478</w:t>
      </w:r>
      <w:r w:rsidRPr="004A238E">
        <w:rPr>
          <w:rFonts w:ascii="宋体" w:hAnsi="宋体" w:hint="eastAsia"/>
          <w:sz w:val="24"/>
        </w:rPr>
        <w:t>人，其中</w:t>
      </w:r>
      <w:r w:rsidR="00346350">
        <w:rPr>
          <w:rFonts w:ascii="宋体" w:hAnsi="宋体" w:hint="eastAsia"/>
          <w:sz w:val="24"/>
        </w:rPr>
        <w:t>2450</w:t>
      </w:r>
      <w:r w:rsidRPr="004A238E">
        <w:rPr>
          <w:rFonts w:ascii="宋体" w:hAnsi="宋体" w:hint="eastAsia"/>
          <w:sz w:val="24"/>
        </w:rPr>
        <w:t>人获得学士学位，学位授予率为</w:t>
      </w:r>
      <w:r w:rsidR="00346350">
        <w:rPr>
          <w:rFonts w:ascii="宋体" w:hAnsi="宋体" w:hint="eastAsia"/>
          <w:sz w:val="24"/>
        </w:rPr>
        <w:t>98.87</w:t>
      </w:r>
      <w:r w:rsidRPr="004A238E">
        <w:rPr>
          <w:rFonts w:ascii="宋体" w:hAnsi="宋体" w:hint="eastAsia"/>
          <w:sz w:val="24"/>
        </w:rPr>
        <w:t>%。</w:t>
      </w:r>
    </w:p>
    <w:p w:rsidR="004D601C" w:rsidRPr="00A541E5" w:rsidRDefault="004D601C" w:rsidP="004D601C">
      <w:pPr>
        <w:spacing w:line="360" w:lineRule="auto"/>
        <w:rPr>
          <w:rFonts w:ascii="宋体" w:hAnsi="宋体"/>
          <w:b/>
          <w:sz w:val="28"/>
          <w:szCs w:val="28"/>
        </w:rPr>
      </w:pPr>
      <w:bookmarkStart w:id="125" w:name="_Toc402443972"/>
      <w:bookmarkStart w:id="126" w:name="_Toc402443490"/>
      <w:r w:rsidRPr="00A541E5">
        <w:rPr>
          <w:rFonts w:ascii="宋体" w:hAnsi="宋体" w:hint="eastAsia"/>
          <w:b/>
          <w:sz w:val="28"/>
          <w:szCs w:val="28"/>
        </w:rPr>
        <w:t>21.应届本科生初次就业率</w:t>
      </w:r>
      <w:bookmarkEnd w:id="125"/>
      <w:bookmarkEnd w:id="126"/>
    </w:p>
    <w:p w:rsidR="004D601C" w:rsidRPr="004A238E" w:rsidRDefault="004D601C" w:rsidP="004A238E">
      <w:pPr>
        <w:spacing w:line="360" w:lineRule="auto"/>
        <w:ind w:firstLineChars="200" w:firstLine="480"/>
        <w:rPr>
          <w:rFonts w:ascii="宋体" w:hAnsi="宋体"/>
          <w:sz w:val="24"/>
        </w:rPr>
      </w:pPr>
      <w:r w:rsidRPr="004A238E">
        <w:rPr>
          <w:rFonts w:ascii="宋体" w:hAnsi="宋体" w:hint="eastAsia"/>
          <w:sz w:val="24"/>
        </w:rPr>
        <w:t>2014年，应届本科生初次就业率为96.44%。</w:t>
      </w:r>
    </w:p>
    <w:p w:rsidR="004D601C" w:rsidRPr="00A541E5" w:rsidRDefault="004D601C" w:rsidP="004D601C">
      <w:pPr>
        <w:spacing w:line="360" w:lineRule="auto"/>
        <w:rPr>
          <w:rFonts w:ascii="宋体" w:hAnsi="宋体"/>
          <w:b/>
          <w:sz w:val="28"/>
          <w:szCs w:val="28"/>
        </w:rPr>
      </w:pPr>
      <w:bookmarkStart w:id="127" w:name="_Toc402443973"/>
      <w:bookmarkStart w:id="128" w:name="_Toc402443491"/>
      <w:r w:rsidRPr="00A541E5">
        <w:rPr>
          <w:rFonts w:ascii="宋体" w:hAnsi="宋体" w:hint="eastAsia"/>
          <w:b/>
          <w:sz w:val="28"/>
          <w:szCs w:val="28"/>
        </w:rPr>
        <w:t>22.体质测试达标率</w:t>
      </w:r>
      <w:bookmarkEnd w:id="127"/>
      <w:bookmarkEnd w:id="128"/>
    </w:p>
    <w:p w:rsidR="004D601C" w:rsidRPr="004A238E" w:rsidRDefault="004D601C" w:rsidP="00721F8C">
      <w:pPr>
        <w:spacing w:line="360" w:lineRule="auto"/>
        <w:ind w:firstLineChars="200" w:firstLine="480"/>
        <w:rPr>
          <w:rFonts w:ascii="宋体" w:hAnsi="宋体"/>
          <w:sz w:val="24"/>
        </w:rPr>
      </w:pPr>
      <w:r w:rsidRPr="004A238E">
        <w:rPr>
          <w:rFonts w:ascii="宋体" w:hAnsi="宋体" w:hint="eastAsia"/>
          <w:sz w:val="24"/>
        </w:rPr>
        <w:t>2014年，本校学生体制测试达标率为</w:t>
      </w:r>
      <w:r w:rsidR="00FA0ED0">
        <w:rPr>
          <w:rFonts w:ascii="宋体" w:hAnsi="宋体" w:hint="eastAsia"/>
          <w:sz w:val="24"/>
        </w:rPr>
        <w:t>86.51</w:t>
      </w:r>
      <w:r w:rsidRPr="004A238E">
        <w:rPr>
          <w:rFonts w:ascii="宋体" w:hAnsi="宋体" w:hint="eastAsia"/>
          <w:sz w:val="24"/>
        </w:rPr>
        <w:t>%。</w:t>
      </w:r>
    </w:p>
    <w:p w:rsidR="004D601C" w:rsidRPr="00721F8C" w:rsidRDefault="004D601C" w:rsidP="00617838">
      <w:pPr>
        <w:spacing w:line="400" w:lineRule="exact"/>
        <w:ind w:firstLineChars="200" w:firstLine="480"/>
        <w:rPr>
          <w:rFonts w:ascii="宋体" w:hAnsi="宋体"/>
          <w:sz w:val="24"/>
        </w:rPr>
      </w:pPr>
    </w:p>
    <w:sectPr w:rsidR="004D601C" w:rsidRPr="00721F8C" w:rsidSect="008E3EB4">
      <w:pgSz w:w="11906" w:h="16838"/>
      <w:pgMar w:top="1440" w:right="1558" w:bottom="1440" w:left="141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1A9" w:rsidRDefault="009331A9" w:rsidP="00683C33">
      <w:r>
        <w:separator/>
      </w:r>
    </w:p>
  </w:endnote>
  <w:endnote w:type="continuationSeparator" w:id="1">
    <w:p w:rsidR="009331A9" w:rsidRDefault="009331A9" w:rsidP="00683C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w:altName w:val="Arial Unicode MS"/>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CED" w:rsidRDefault="0086746D">
    <w:pPr>
      <w:pStyle w:val="a4"/>
      <w:framePr w:wrap="around" w:vAnchor="text" w:hAnchor="margin" w:xAlign="center" w:y="1"/>
      <w:rPr>
        <w:rStyle w:val="a7"/>
      </w:rPr>
    </w:pPr>
    <w:r>
      <w:fldChar w:fldCharType="begin"/>
    </w:r>
    <w:r w:rsidR="00211CED">
      <w:rPr>
        <w:rStyle w:val="a7"/>
      </w:rPr>
      <w:instrText xml:space="preserve">PAGE  </w:instrText>
    </w:r>
    <w:r>
      <w:fldChar w:fldCharType="end"/>
    </w:r>
  </w:p>
  <w:p w:rsidR="00211CED" w:rsidRDefault="00211CE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CED" w:rsidRDefault="0086746D">
    <w:pPr>
      <w:pStyle w:val="a4"/>
      <w:framePr w:wrap="around" w:vAnchor="text" w:hAnchor="margin" w:xAlign="center" w:y="1"/>
      <w:rPr>
        <w:rStyle w:val="a7"/>
      </w:rPr>
    </w:pPr>
    <w:r>
      <w:fldChar w:fldCharType="begin"/>
    </w:r>
    <w:r w:rsidR="00211CED">
      <w:rPr>
        <w:rStyle w:val="a7"/>
      </w:rPr>
      <w:instrText xml:space="preserve">PAGE  </w:instrText>
    </w:r>
    <w:r>
      <w:fldChar w:fldCharType="separate"/>
    </w:r>
    <w:r w:rsidR="00224B13">
      <w:rPr>
        <w:rStyle w:val="a7"/>
        <w:noProof/>
      </w:rPr>
      <w:t>II</w:t>
    </w:r>
    <w:r>
      <w:fldChar w:fldCharType="end"/>
    </w:r>
  </w:p>
  <w:p w:rsidR="00211CED" w:rsidRDefault="00211CE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B1D" w:rsidRDefault="00180B1D">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85E" w:rsidRDefault="0086746D">
    <w:pPr>
      <w:pStyle w:val="a4"/>
      <w:framePr w:wrap="around" w:vAnchor="text" w:hAnchor="margin" w:xAlign="center" w:y="1"/>
      <w:rPr>
        <w:rStyle w:val="a7"/>
      </w:rPr>
    </w:pPr>
    <w:r>
      <w:fldChar w:fldCharType="begin"/>
    </w:r>
    <w:r w:rsidR="0089285E">
      <w:rPr>
        <w:rStyle w:val="a7"/>
      </w:rPr>
      <w:instrText xml:space="preserve">PAGE  </w:instrText>
    </w:r>
    <w:r>
      <w:fldChar w:fldCharType="separate"/>
    </w:r>
    <w:r w:rsidR="00180B1D">
      <w:rPr>
        <w:rStyle w:val="a7"/>
        <w:noProof/>
      </w:rPr>
      <w:t>24</w:t>
    </w:r>
    <w:r>
      <w:fldChar w:fldCharType="end"/>
    </w:r>
  </w:p>
  <w:p w:rsidR="0089285E" w:rsidRDefault="0089285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1A9" w:rsidRDefault="009331A9" w:rsidP="00683C33">
      <w:r>
        <w:separator/>
      </w:r>
    </w:p>
  </w:footnote>
  <w:footnote w:type="continuationSeparator" w:id="1">
    <w:p w:rsidR="009331A9" w:rsidRDefault="009331A9" w:rsidP="00683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B1D" w:rsidRDefault="00180B1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CED" w:rsidRDefault="00211CED">
    <w:pPr>
      <w:pStyle w:val="a3"/>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CED" w:rsidRDefault="00211CED">
    <w:pPr>
      <w:pStyle w:val="a3"/>
      <w:pBdr>
        <w:bottom w:val="none" w:sz="0" w:space="0"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3C33"/>
    <w:rsid w:val="00001A6F"/>
    <w:rsid w:val="000526F1"/>
    <w:rsid w:val="00076278"/>
    <w:rsid w:val="000A07D4"/>
    <w:rsid w:val="00124323"/>
    <w:rsid w:val="00125E02"/>
    <w:rsid w:val="00165543"/>
    <w:rsid w:val="00180B1D"/>
    <w:rsid w:val="001A33E0"/>
    <w:rsid w:val="001D0C9E"/>
    <w:rsid w:val="001E230F"/>
    <w:rsid w:val="00211CED"/>
    <w:rsid w:val="00224B13"/>
    <w:rsid w:val="00285209"/>
    <w:rsid w:val="002901BE"/>
    <w:rsid w:val="002E40AE"/>
    <w:rsid w:val="003043C6"/>
    <w:rsid w:val="00307D00"/>
    <w:rsid w:val="00311889"/>
    <w:rsid w:val="00346350"/>
    <w:rsid w:val="00361A24"/>
    <w:rsid w:val="003818E1"/>
    <w:rsid w:val="00382682"/>
    <w:rsid w:val="003A7425"/>
    <w:rsid w:val="004147BE"/>
    <w:rsid w:val="004331EC"/>
    <w:rsid w:val="00440690"/>
    <w:rsid w:val="004824AF"/>
    <w:rsid w:val="004A238E"/>
    <w:rsid w:val="004C1C14"/>
    <w:rsid w:val="004D601C"/>
    <w:rsid w:val="004F5AFA"/>
    <w:rsid w:val="00522F88"/>
    <w:rsid w:val="00542E33"/>
    <w:rsid w:val="00563AFF"/>
    <w:rsid w:val="00596256"/>
    <w:rsid w:val="005F09E8"/>
    <w:rsid w:val="00617838"/>
    <w:rsid w:val="006227EA"/>
    <w:rsid w:val="00646022"/>
    <w:rsid w:val="00683C33"/>
    <w:rsid w:val="006F0044"/>
    <w:rsid w:val="006F397C"/>
    <w:rsid w:val="00707717"/>
    <w:rsid w:val="00713DD6"/>
    <w:rsid w:val="00721F8C"/>
    <w:rsid w:val="007341C5"/>
    <w:rsid w:val="00770EC8"/>
    <w:rsid w:val="007801A1"/>
    <w:rsid w:val="00786001"/>
    <w:rsid w:val="007901F2"/>
    <w:rsid w:val="007B7C00"/>
    <w:rsid w:val="007D5081"/>
    <w:rsid w:val="00817BF4"/>
    <w:rsid w:val="0084484D"/>
    <w:rsid w:val="00847E89"/>
    <w:rsid w:val="00857AF6"/>
    <w:rsid w:val="00865AC9"/>
    <w:rsid w:val="0086746D"/>
    <w:rsid w:val="008678A3"/>
    <w:rsid w:val="00867DB1"/>
    <w:rsid w:val="00874E38"/>
    <w:rsid w:val="0089285E"/>
    <w:rsid w:val="008B2CC7"/>
    <w:rsid w:val="008D2C08"/>
    <w:rsid w:val="008E3EB4"/>
    <w:rsid w:val="008F3A30"/>
    <w:rsid w:val="00906D55"/>
    <w:rsid w:val="009331A9"/>
    <w:rsid w:val="00935F38"/>
    <w:rsid w:val="0094198F"/>
    <w:rsid w:val="00957EBB"/>
    <w:rsid w:val="0099654D"/>
    <w:rsid w:val="009A0083"/>
    <w:rsid w:val="009A3F5D"/>
    <w:rsid w:val="009A7438"/>
    <w:rsid w:val="009C1CB2"/>
    <w:rsid w:val="009C3442"/>
    <w:rsid w:val="009D4935"/>
    <w:rsid w:val="009F18F4"/>
    <w:rsid w:val="00A319CF"/>
    <w:rsid w:val="00A37D7A"/>
    <w:rsid w:val="00A768CB"/>
    <w:rsid w:val="00A81AA8"/>
    <w:rsid w:val="00A94000"/>
    <w:rsid w:val="00A96839"/>
    <w:rsid w:val="00AA12AF"/>
    <w:rsid w:val="00AD5EEF"/>
    <w:rsid w:val="00B36956"/>
    <w:rsid w:val="00B4098C"/>
    <w:rsid w:val="00B550F1"/>
    <w:rsid w:val="00B57322"/>
    <w:rsid w:val="00BC47B0"/>
    <w:rsid w:val="00BC613E"/>
    <w:rsid w:val="00C21824"/>
    <w:rsid w:val="00C43FC5"/>
    <w:rsid w:val="00C4460A"/>
    <w:rsid w:val="00C472E9"/>
    <w:rsid w:val="00CB1627"/>
    <w:rsid w:val="00CC6DE0"/>
    <w:rsid w:val="00CC7236"/>
    <w:rsid w:val="00CD27ED"/>
    <w:rsid w:val="00D112BA"/>
    <w:rsid w:val="00D531DA"/>
    <w:rsid w:val="00D579AC"/>
    <w:rsid w:val="00DA01BE"/>
    <w:rsid w:val="00E461C5"/>
    <w:rsid w:val="00E51770"/>
    <w:rsid w:val="00E60289"/>
    <w:rsid w:val="00E81BF9"/>
    <w:rsid w:val="00EE3DD6"/>
    <w:rsid w:val="00F5582B"/>
    <w:rsid w:val="00F76A99"/>
    <w:rsid w:val="00F83723"/>
    <w:rsid w:val="00F8634C"/>
    <w:rsid w:val="00FA0E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C33"/>
    <w:pPr>
      <w:widowControl w:val="0"/>
      <w:jc w:val="both"/>
    </w:pPr>
    <w:rPr>
      <w:rFonts w:ascii="Times New Roman" w:eastAsia="宋体" w:hAnsi="Times New Roman" w:cs="Times New Roman"/>
      <w:szCs w:val="24"/>
    </w:rPr>
  </w:style>
  <w:style w:type="paragraph" w:styleId="1">
    <w:name w:val="heading 1"/>
    <w:basedOn w:val="a"/>
    <w:next w:val="a"/>
    <w:link w:val="1Char"/>
    <w:qFormat/>
    <w:rsid w:val="00683C33"/>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683C3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83C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83C33"/>
    <w:rPr>
      <w:sz w:val="18"/>
      <w:szCs w:val="18"/>
    </w:rPr>
  </w:style>
  <w:style w:type="paragraph" w:styleId="a4">
    <w:name w:val="footer"/>
    <w:basedOn w:val="a"/>
    <w:link w:val="Char0"/>
    <w:unhideWhenUsed/>
    <w:rsid w:val="00683C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83C33"/>
    <w:rPr>
      <w:sz w:val="18"/>
      <w:szCs w:val="18"/>
    </w:rPr>
  </w:style>
  <w:style w:type="character" w:customStyle="1" w:styleId="1Char">
    <w:name w:val="标题 1 Char"/>
    <w:basedOn w:val="a0"/>
    <w:link w:val="1"/>
    <w:rsid w:val="00683C33"/>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683C33"/>
    <w:rPr>
      <w:rFonts w:ascii="Cambria" w:eastAsia="宋体" w:hAnsi="Cambria" w:cs="Times New Roman"/>
      <w:b/>
      <w:bCs/>
      <w:sz w:val="32"/>
      <w:szCs w:val="32"/>
    </w:rPr>
  </w:style>
  <w:style w:type="paragraph" w:styleId="a5">
    <w:name w:val="Balloon Text"/>
    <w:basedOn w:val="a"/>
    <w:link w:val="Char1"/>
    <w:uiPriority w:val="99"/>
    <w:semiHidden/>
    <w:rsid w:val="00683C33"/>
    <w:rPr>
      <w:sz w:val="18"/>
      <w:szCs w:val="18"/>
    </w:rPr>
  </w:style>
  <w:style w:type="character" w:customStyle="1" w:styleId="Char1">
    <w:name w:val="批注框文本 Char"/>
    <w:basedOn w:val="a0"/>
    <w:link w:val="a5"/>
    <w:uiPriority w:val="99"/>
    <w:semiHidden/>
    <w:rsid w:val="00683C33"/>
    <w:rPr>
      <w:rFonts w:ascii="Times New Roman" w:eastAsia="宋体" w:hAnsi="Times New Roman" w:cs="Times New Roman"/>
      <w:sz w:val="18"/>
      <w:szCs w:val="18"/>
    </w:rPr>
  </w:style>
  <w:style w:type="character" w:customStyle="1" w:styleId="CharChar2">
    <w:name w:val="Char Char2"/>
    <w:basedOn w:val="a0"/>
    <w:uiPriority w:val="99"/>
    <w:locked/>
    <w:rsid w:val="00683C33"/>
    <w:rPr>
      <w:rFonts w:cs="Times New Roman"/>
      <w:b/>
      <w:bCs/>
      <w:kern w:val="44"/>
      <w:sz w:val="44"/>
      <w:szCs w:val="44"/>
    </w:rPr>
  </w:style>
  <w:style w:type="paragraph" w:styleId="a6">
    <w:name w:val="List Paragraph"/>
    <w:basedOn w:val="a"/>
    <w:uiPriority w:val="34"/>
    <w:qFormat/>
    <w:rsid w:val="00F5582B"/>
    <w:pPr>
      <w:ind w:firstLineChars="200" w:firstLine="420"/>
    </w:pPr>
  </w:style>
  <w:style w:type="paragraph" w:styleId="10">
    <w:name w:val="toc 1"/>
    <w:basedOn w:val="a"/>
    <w:next w:val="a"/>
    <w:uiPriority w:val="39"/>
    <w:rsid w:val="00211CED"/>
  </w:style>
  <w:style w:type="paragraph" w:styleId="20">
    <w:name w:val="toc 2"/>
    <w:basedOn w:val="a"/>
    <w:next w:val="a"/>
    <w:uiPriority w:val="39"/>
    <w:rsid w:val="00211CED"/>
    <w:pPr>
      <w:tabs>
        <w:tab w:val="right" w:leader="dot" w:pos="8296"/>
      </w:tabs>
      <w:spacing w:line="400" w:lineRule="exact"/>
      <w:ind w:leftChars="200" w:left="420"/>
    </w:pPr>
  </w:style>
  <w:style w:type="character" w:styleId="a7">
    <w:name w:val="page number"/>
    <w:basedOn w:val="a0"/>
    <w:rsid w:val="00211CED"/>
    <w:rPr>
      <w:rFonts w:cs="Times New Roman"/>
    </w:rPr>
  </w:style>
  <w:style w:type="character" w:styleId="a8">
    <w:name w:val="Hyperlink"/>
    <w:basedOn w:val="a0"/>
    <w:uiPriority w:val="99"/>
    <w:rsid w:val="00211CED"/>
    <w:rPr>
      <w:color w:val="0000FF"/>
      <w:u w:val="single"/>
    </w:rPr>
  </w:style>
  <w:style w:type="paragraph" w:customStyle="1" w:styleId="TOCHeading1">
    <w:name w:val="TOC Heading1"/>
    <w:basedOn w:val="1"/>
    <w:next w:val="a"/>
    <w:rsid w:val="00211CED"/>
    <w:pPr>
      <w:widowControl/>
      <w:spacing w:before="480" w:after="0" w:line="276" w:lineRule="auto"/>
      <w:jc w:val="left"/>
      <w:outlineLvl w:val="9"/>
    </w:pPr>
    <w:rPr>
      <w:rFonts w:ascii="Cambria" w:hAnsi="Cambria" w:cs="黑体"/>
      <w:color w:val="365F90"/>
      <w:kern w:val="0"/>
      <w:sz w:val="28"/>
      <w:szCs w:val="28"/>
    </w:rPr>
  </w:style>
  <w:style w:type="paragraph" w:styleId="a9">
    <w:name w:val="Document Map"/>
    <w:basedOn w:val="a"/>
    <w:link w:val="Char2"/>
    <w:uiPriority w:val="99"/>
    <w:semiHidden/>
    <w:unhideWhenUsed/>
    <w:rsid w:val="0089285E"/>
    <w:rPr>
      <w:rFonts w:ascii="宋体"/>
      <w:sz w:val="18"/>
      <w:szCs w:val="18"/>
    </w:rPr>
  </w:style>
  <w:style w:type="character" w:customStyle="1" w:styleId="Char2">
    <w:name w:val="文档结构图 Char"/>
    <w:basedOn w:val="a0"/>
    <w:link w:val="a9"/>
    <w:uiPriority w:val="99"/>
    <w:semiHidden/>
    <w:rsid w:val="0089285E"/>
    <w:rPr>
      <w:rFonts w:ascii="宋体" w:eastAsia="宋体" w:hAnsi="Times New Roman" w:cs="Times New Roman"/>
      <w:sz w:val="18"/>
      <w:szCs w:val="18"/>
    </w:rPr>
  </w:style>
  <w:style w:type="paragraph" w:styleId="TOC">
    <w:name w:val="TOC Heading"/>
    <w:basedOn w:val="1"/>
    <w:next w:val="a"/>
    <w:uiPriority w:val="39"/>
    <w:unhideWhenUsed/>
    <w:qFormat/>
    <w:rsid w:val="0089285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divs>
    <w:div w:id="561840624">
      <w:bodyDiv w:val="1"/>
      <w:marLeft w:val="0"/>
      <w:marRight w:val="0"/>
      <w:marTop w:val="0"/>
      <w:marBottom w:val="0"/>
      <w:divBdr>
        <w:top w:val="none" w:sz="0" w:space="0" w:color="auto"/>
        <w:left w:val="none" w:sz="0" w:space="0" w:color="auto"/>
        <w:bottom w:val="none" w:sz="0" w:space="0" w:color="auto"/>
        <w:right w:val="none" w:sz="0" w:space="0" w:color="auto"/>
      </w:divBdr>
      <w:divsChild>
        <w:div w:id="1576937956">
          <w:marLeft w:val="0"/>
          <w:marRight w:val="0"/>
          <w:marTop w:val="0"/>
          <w:marBottom w:val="0"/>
          <w:divBdr>
            <w:top w:val="none" w:sz="0" w:space="0" w:color="auto"/>
            <w:left w:val="none" w:sz="0" w:space="0" w:color="auto"/>
            <w:bottom w:val="none" w:sz="0" w:space="0" w:color="auto"/>
            <w:right w:val="none" w:sz="0" w:space="0" w:color="auto"/>
          </w:divBdr>
        </w:div>
      </w:divsChild>
    </w:div>
    <w:div w:id="1590501648">
      <w:bodyDiv w:val="1"/>
      <w:marLeft w:val="0"/>
      <w:marRight w:val="0"/>
      <w:marTop w:val="0"/>
      <w:marBottom w:val="0"/>
      <w:divBdr>
        <w:top w:val="none" w:sz="0" w:space="0" w:color="auto"/>
        <w:left w:val="none" w:sz="0" w:space="0" w:color="auto"/>
        <w:bottom w:val="none" w:sz="0" w:space="0" w:color="auto"/>
        <w:right w:val="none" w:sz="0" w:space="0" w:color="auto"/>
      </w:divBdr>
      <w:divsChild>
        <w:div w:id="1229730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4.xml"/><Relationship Id="rId3" Type="http://schemas.openxmlformats.org/officeDocument/2006/relationships/settings" Target="settings.xml"/><Relationship Id="rId21" Type="http://schemas.openxmlformats.org/officeDocument/2006/relationships/chart" Target="charts/chart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___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Office_Excel____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___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___7.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4882">
          <a:noFill/>
        </a:ln>
      </c:spPr>
    </c:title>
    <c:plotArea>
      <c:layout/>
      <c:pieChart>
        <c:varyColors val="1"/>
        <c:ser>
          <c:idx val="0"/>
          <c:order val="0"/>
          <c:tx>
            <c:strRef>
              <c:f>Sheet1!$B$1</c:f>
              <c:strCache>
                <c:ptCount val="1"/>
                <c:pt idx="0">
                  <c:v>  </c:v>
                </c:pt>
              </c:strCache>
            </c:strRef>
          </c:tx>
          <c:dLbls>
            <c:numFmt formatCode="0.00%" sourceLinked="0"/>
            <c:spPr>
              <a:noFill/>
              <a:ln w="24882">
                <a:noFill/>
              </a:ln>
            </c:spPr>
            <c:dLblPos val="outEnd"/>
            <c:showPercent val="1"/>
            <c:showLeaderLines val="1"/>
          </c:dLbls>
          <c:cat>
            <c:strRef>
              <c:f>Sheet1!$A$2:$A$7</c:f>
              <c:strCache>
                <c:ptCount val="6"/>
                <c:pt idx="0">
                  <c:v>工学</c:v>
                </c:pt>
                <c:pt idx="1">
                  <c:v>理学</c:v>
                </c:pt>
                <c:pt idx="2">
                  <c:v>经济学</c:v>
                </c:pt>
                <c:pt idx="3">
                  <c:v>管理学</c:v>
                </c:pt>
                <c:pt idx="4">
                  <c:v>文学</c:v>
                </c:pt>
                <c:pt idx="5">
                  <c:v>艺术</c:v>
                </c:pt>
              </c:strCache>
            </c:strRef>
          </c:cat>
          <c:val>
            <c:numRef>
              <c:f>Sheet1!$B$2:$B$7</c:f>
              <c:numCache>
                <c:formatCode>General</c:formatCode>
                <c:ptCount val="6"/>
                <c:pt idx="0">
                  <c:v>62.220000000000013</c:v>
                </c:pt>
                <c:pt idx="1">
                  <c:v>4.4400000000000004</c:v>
                </c:pt>
                <c:pt idx="2">
                  <c:v>4.4400000000000004</c:v>
                </c:pt>
                <c:pt idx="3">
                  <c:v>13.34</c:v>
                </c:pt>
                <c:pt idx="4">
                  <c:v>11.12</c:v>
                </c:pt>
                <c:pt idx="5">
                  <c:v>4.4400000000000004</c:v>
                </c:pt>
              </c:numCache>
            </c:numRef>
          </c:val>
        </c:ser>
        <c:dLbls>
          <c:showPercent val="1"/>
        </c:dLbls>
        <c:firstSliceAng val="0"/>
      </c:pieChart>
      <c:spPr>
        <a:noFill/>
        <a:ln w="24882">
          <a:noFill/>
        </a:ln>
      </c:spPr>
    </c:plotArea>
    <c:legend>
      <c:legendPos val="r"/>
    </c:legend>
    <c:plotVisOnly val="1"/>
    <c:dispBlanksAs val="zero"/>
  </c:chart>
  <c:spPr>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120861362994818"/>
          <c:y val="7.2384609213069037E-2"/>
          <c:w val="0.72865898963392661"/>
          <c:h val="0.81385131075483064"/>
        </c:manualLayout>
      </c:layout>
      <c:lineChart>
        <c:grouping val="standard"/>
        <c:ser>
          <c:idx val="0"/>
          <c:order val="0"/>
          <c:tx>
            <c:strRef>
              <c:f>Sheet1!$B$1</c:f>
              <c:strCache>
                <c:ptCount val="1"/>
                <c:pt idx="0">
                  <c:v>新生实际报到率</c:v>
                </c:pt>
              </c:strCache>
            </c:strRef>
          </c:tx>
          <c:dLbls>
            <c:dLbl>
              <c:idx val="1"/>
              <c:layout>
                <c:manualLayout>
                  <c:x val="-4.1666666666666664E-2"/>
                  <c:y val="5.9523809523809507E-2"/>
                </c:manualLayout>
              </c:layout>
              <c:spPr>
                <a:noFill/>
                <a:ln w="24375">
                  <a:noFill/>
                </a:ln>
              </c:spPr>
              <c:txPr>
                <a:bodyPr/>
                <a:lstStyle/>
                <a:p>
                  <a:pPr>
                    <a:defRPr/>
                  </a:pPr>
                  <a:endParaRPr lang="zh-CN"/>
                </a:p>
              </c:txPr>
              <c:dLblPos val="r"/>
              <c:showVal val="1"/>
            </c:dLbl>
            <c:dLbl>
              <c:idx val="2"/>
              <c:layout>
                <c:manualLayout>
                  <c:x val="-2.7777777777778852E-2"/>
                  <c:y val="5.9523809523809507E-2"/>
                </c:manualLayout>
              </c:layout>
              <c:spPr>
                <a:noFill/>
                <a:ln w="24375">
                  <a:noFill/>
                </a:ln>
              </c:spPr>
              <c:txPr>
                <a:bodyPr/>
                <a:lstStyle/>
                <a:p>
                  <a:pPr>
                    <a:defRPr/>
                  </a:pPr>
                  <a:endParaRPr lang="zh-CN"/>
                </a:p>
              </c:txPr>
              <c:dLblPos val="r"/>
              <c:showVal val="1"/>
            </c:dLbl>
            <c:dLbl>
              <c:idx val="3"/>
              <c:layout>
                <c:manualLayout>
                  <c:x val="-3.9351851851851853E-2"/>
                  <c:y val="4.7619047619047582E-2"/>
                </c:manualLayout>
              </c:layout>
              <c:spPr>
                <a:noFill/>
                <a:ln w="24375">
                  <a:noFill/>
                </a:ln>
              </c:spPr>
              <c:txPr>
                <a:bodyPr/>
                <a:lstStyle/>
                <a:p>
                  <a:pPr>
                    <a:defRPr/>
                  </a:pPr>
                  <a:endParaRPr lang="zh-CN"/>
                </a:p>
              </c:txPr>
              <c:dLblPos val="r"/>
              <c:showVal val="1"/>
            </c:dLbl>
            <c:dLbl>
              <c:idx val="4"/>
              <c:layout>
                <c:manualLayout>
                  <c:x val="-3.4722222222222224E-2"/>
                  <c:y val="4.7619047619047623E-2"/>
                </c:manualLayout>
              </c:layout>
              <c:spPr>
                <a:noFill/>
                <a:ln w="24375">
                  <a:noFill/>
                </a:ln>
              </c:spPr>
              <c:txPr>
                <a:bodyPr/>
                <a:lstStyle/>
                <a:p>
                  <a:pPr>
                    <a:defRPr/>
                  </a:pPr>
                  <a:endParaRPr lang="zh-CN"/>
                </a:p>
              </c:txPr>
              <c:dLblPos val="r"/>
              <c:showVal val="1"/>
            </c:dLbl>
            <c:dLbl>
              <c:idx val="5"/>
              <c:layout>
                <c:manualLayout>
                  <c:x val="-4.3981481481481483E-2"/>
                  <c:y val="-3.5714285714285712E-2"/>
                </c:manualLayout>
              </c:layout>
              <c:spPr>
                <a:noFill/>
                <a:ln w="24375">
                  <a:noFill/>
                </a:ln>
              </c:spPr>
              <c:txPr>
                <a:bodyPr/>
                <a:lstStyle/>
                <a:p>
                  <a:pPr>
                    <a:defRPr/>
                  </a:pPr>
                  <a:endParaRPr lang="zh-CN"/>
                </a:p>
              </c:txPr>
              <c:dLblPos val="r"/>
              <c:showVal val="1"/>
            </c:dLbl>
            <c:dLbl>
              <c:idx val="6"/>
              <c:layout>
                <c:manualLayout>
                  <c:x val="-3.9351851851851853E-2"/>
                  <c:y val="4.7619047619047693E-2"/>
                </c:manualLayout>
              </c:layout>
              <c:spPr>
                <a:noFill/>
                <a:ln w="24375">
                  <a:noFill/>
                </a:ln>
              </c:spPr>
              <c:txPr>
                <a:bodyPr/>
                <a:lstStyle/>
                <a:p>
                  <a:pPr>
                    <a:defRPr/>
                  </a:pPr>
                  <a:endParaRPr lang="zh-CN"/>
                </a:p>
              </c:txPr>
              <c:dLblPos val="r"/>
              <c:showVal val="1"/>
            </c:dLbl>
            <c:dLbl>
              <c:idx val="7"/>
              <c:layout>
                <c:manualLayout>
                  <c:x val="-5.286782686470682E-2"/>
                  <c:y val="-4.4126556353434473E-2"/>
                </c:manualLayout>
              </c:layout>
              <c:spPr>
                <a:noFill/>
                <a:ln w="24375">
                  <a:noFill/>
                </a:ln>
              </c:spPr>
              <c:txPr>
                <a:bodyPr/>
                <a:lstStyle/>
                <a:p>
                  <a:pPr>
                    <a:defRPr/>
                  </a:pPr>
                  <a:endParaRPr lang="zh-CN"/>
                </a:p>
              </c:txPr>
              <c:dLblPos val="r"/>
              <c:showVal val="1"/>
            </c:dLbl>
            <c:dLbl>
              <c:idx val="8"/>
              <c:layout>
                <c:manualLayout>
                  <c:x val="-2.7712057244342385E-2"/>
                  <c:y val="-4.8157455921234119E-2"/>
                </c:manualLayout>
              </c:layout>
              <c:spPr>
                <a:noFill/>
                <a:ln w="24375">
                  <a:noFill/>
                </a:ln>
              </c:spPr>
              <c:txPr>
                <a:bodyPr/>
                <a:lstStyle/>
                <a:p>
                  <a:pPr>
                    <a:defRPr/>
                  </a:pPr>
                  <a:endParaRPr lang="zh-CN"/>
                </a:p>
              </c:txPr>
              <c:dLblPos val="r"/>
              <c:showVal val="1"/>
            </c:dLbl>
            <c:dLbl>
              <c:idx val="9"/>
              <c:layout>
                <c:manualLayout>
                  <c:x val="-4.5283018867924622E-2"/>
                  <c:y val="5.6224899598393545E-2"/>
                </c:manualLayout>
              </c:layout>
              <c:spPr>
                <a:noFill/>
                <a:ln w="24375">
                  <a:noFill/>
                </a:ln>
              </c:spPr>
              <c:txPr>
                <a:bodyPr/>
                <a:lstStyle/>
                <a:p>
                  <a:pPr>
                    <a:defRPr/>
                  </a:pPr>
                  <a:endParaRPr lang="zh-CN"/>
                </a:p>
              </c:txPr>
              <c:dLblPos val="r"/>
              <c:showVal val="1"/>
            </c:dLbl>
            <c:dLbl>
              <c:idx val="10"/>
              <c:layout>
                <c:manualLayout>
                  <c:x val="-3.7735849056604209E-2"/>
                  <c:y val="4.4176706827309523E-2"/>
                </c:manualLayout>
              </c:layout>
              <c:spPr>
                <a:noFill/>
                <a:ln w="24375">
                  <a:noFill/>
                </a:ln>
              </c:spPr>
              <c:txPr>
                <a:bodyPr/>
                <a:lstStyle/>
                <a:p>
                  <a:pPr>
                    <a:defRPr/>
                  </a:pPr>
                  <a:endParaRPr lang="zh-CN"/>
                </a:p>
              </c:txPr>
              <c:dLblPos val="r"/>
              <c:showVal val="1"/>
            </c:dLbl>
            <c:dLbl>
              <c:idx val="11"/>
              <c:layout>
                <c:manualLayout>
                  <c:x val="-4.5283018867924435E-2"/>
                  <c:y val="-4.4176706827309523E-2"/>
                </c:manualLayout>
              </c:layout>
              <c:spPr>
                <a:noFill/>
                <a:ln w="24375">
                  <a:noFill/>
                </a:ln>
              </c:spPr>
              <c:txPr>
                <a:bodyPr/>
                <a:lstStyle/>
                <a:p>
                  <a:pPr>
                    <a:defRPr/>
                  </a:pPr>
                  <a:endParaRPr lang="zh-CN"/>
                </a:p>
              </c:txPr>
              <c:dLblPos val="r"/>
              <c:showVal val="1"/>
            </c:dLbl>
            <c:dLbl>
              <c:idx val="12"/>
              <c:layout>
                <c:manualLayout>
                  <c:x val="-2.2641509433962412E-2"/>
                  <c:y val="5.220883534136548E-2"/>
                </c:manualLayout>
              </c:layout>
              <c:spPr>
                <a:noFill/>
                <a:ln w="24375">
                  <a:noFill/>
                </a:ln>
              </c:spPr>
              <c:txPr>
                <a:bodyPr/>
                <a:lstStyle/>
                <a:p>
                  <a:pPr>
                    <a:defRPr/>
                  </a:pPr>
                  <a:endParaRPr lang="zh-CN"/>
                </a:p>
              </c:txPr>
              <c:dLblPos val="r"/>
              <c:showVal val="1"/>
            </c:dLbl>
            <c:spPr>
              <a:noFill/>
              <a:ln w="24375">
                <a:noFill/>
              </a:ln>
            </c:spPr>
            <c:showVal val="1"/>
          </c:dLbls>
          <c:cat>
            <c:numRef>
              <c:f>Sheet1!$A$2:$A$14</c:f>
              <c:numCache>
                <c:formatCode>General</c:formatCode>
                <c:ptCount val="13"/>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numCache>
            </c:numRef>
          </c:cat>
          <c:val>
            <c:numRef>
              <c:f>Sheet1!$B$2:$B$14</c:f>
              <c:numCache>
                <c:formatCode>General</c:formatCode>
                <c:ptCount val="13"/>
                <c:pt idx="0">
                  <c:v>97.42</c:v>
                </c:pt>
                <c:pt idx="1">
                  <c:v>75.649999999999991</c:v>
                </c:pt>
                <c:pt idx="2">
                  <c:v>83</c:v>
                </c:pt>
                <c:pt idx="3">
                  <c:v>89.05</c:v>
                </c:pt>
                <c:pt idx="4">
                  <c:v>86.36</c:v>
                </c:pt>
                <c:pt idx="5">
                  <c:v>96.03</c:v>
                </c:pt>
                <c:pt idx="6">
                  <c:v>88.86</c:v>
                </c:pt>
                <c:pt idx="7">
                  <c:v>90.75</c:v>
                </c:pt>
                <c:pt idx="8">
                  <c:v>92.84</c:v>
                </c:pt>
                <c:pt idx="9">
                  <c:v>92.26</c:v>
                </c:pt>
                <c:pt idx="10">
                  <c:v>93.940000000000026</c:v>
                </c:pt>
                <c:pt idx="11">
                  <c:v>94.63</c:v>
                </c:pt>
                <c:pt idx="12">
                  <c:v>94.84</c:v>
                </c:pt>
              </c:numCache>
            </c:numRef>
          </c:val>
        </c:ser>
        <c:marker val="1"/>
        <c:axId val="137938816"/>
        <c:axId val="138002432"/>
      </c:lineChart>
      <c:catAx>
        <c:axId val="137938816"/>
        <c:scaling>
          <c:orientation val="minMax"/>
        </c:scaling>
        <c:axPos val="b"/>
        <c:numFmt formatCode="General" sourceLinked="1"/>
        <c:tickLblPos val="nextTo"/>
        <c:spPr>
          <a:ln w="18281">
            <a:tailEnd type="triangle"/>
          </a:ln>
        </c:spPr>
        <c:crossAx val="138002432"/>
        <c:crosses val="autoZero"/>
        <c:auto val="1"/>
        <c:lblAlgn val="ctr"/>
        <c:lblOffset val="100"/>
      </c:catAx>
      <c:valAx>
        <c:axId val="138002432"/>
        <c:scaling>
          <c:orientation val="minMax"/>
          <c:max val="100"/>
        </c:scaling>
        <c:axPos val="l"/>
        <c:majorGridlines/>
        <c:numFmt formatCode="General" sourceLinked="1"/>
        <c:tickLblPos val="nextTo"/>
        <c:spPr>
          <a:ln w="18281">
            <a:tailEnd type="triangle"/>
          </a:ln>
        </c:spPr>
        <c:crossAx val="137938816"/>
        <c:crosses val="autoZero"/>
        <c:crossBetween val="midCat"/>
        <c:majorUnit val="20"/>
      </c:valAx>
    </c:plotArea>
    <c:plotVisOnly val="1"/>
    <c:dispBlanksAs val="gap"/>
  </c:chart>
  <c:spPr>
    <a:ln>
      <a:noFill/>
    </a:ln>
  </c:sp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view3D>
      <c:rotX val="30"/>
      <c:perspective val="30"/>
    </c:view3D>
    <c:plotArea>
      <c:layout>
        <c:manualLayout>
          <c:layoutTarget val="inner"/>
          <c:xMode val="edge"/>
          <c:yMode val="edge"/>
          <c:x val="7.818831310346136E-2"/>
          <c:y val="0.15841260517074138"/>
          <c:w val="0.72782133280271821"/>
          <c:h val="0.73535240541835711"/>
        </c:manualLayout>
      </c:layout>
      <c:pie3DChart>
        <c:varyColors val="1"/>
        <c:ser>
          <c:idx val="0"/>
          <c:order val="0"/>
          <c:tx>
            <c:strRef>
              <c:f>Sheet1!$B$1</c:f>
              <c:strCache>
                <c:ptCount val="1"/>
                <c:pt idx="0">
                  <c:v>人数</c:v>
                </c:pt>
              </c:strCache>
            </c:strRef>
          </c:tx>
          <c:dLbls>
            <c:dLbl>
              <c:idx val="6"/>
              <c:layout>
                <c:manualLayout>
                  <c:x val="-0.16758894721493148"/>
                  <c:y val="-0.12888995272445616"/>
                </c:manualLayout>
              </c:layout>
              <c:spPr>
                <a:noFill/>
                <a:ln w="25381">
                  <a:noFill/>
                </a:ln>
              </c:spPr>
              <c:txPr>
                <a:bodyPr/>
                <a:lstStyle/>
                <a:p>
                  <a:pPr>
                    <a:defRPr/>
                  </a:pPr>
                  <a:endParaRPr lang="zh-CN"/>
                </a:p>
              </c:txPr>
              <c:dLblPos val="bestFit"/>
              <c:showVal val="1"/>
              <c:showCatName val="1"/>
              <c:showPercent val="1"/>
            </c:dLbl>
            <c:dLbl>
              <c:idx val="7"/>
              <c:layout>
                <c:manualLayout>
                  <c:x val="-7.3137758821813892E-2"/>
                  <c:y val="7.3607365248220244E-2"/>
                </c:manualLayout>
              </c:layout>
              <c:spPr>
                <a:noFill/>
                <a:ln w="25381">
                  <a:noFill/>
                </a:ln>
              </c:spPr>
              <c:txPr>
                <a:bodyPr/>
                <a:lstStyle/>
                <a:p>
                  <a:pPr>
                    <a:defRPr/>
                  </a:pPr>
                  <a:endParaRPr lang="zh-CN"/>
                </a:p>
              </c:txPr>
              <c:dLblPos val="bestFit"/>
              <c:showVal val="1"/>
              <c:showCatName val="1"/>
              <c:showPercent val="1"/>
            </c:dLbl>
            <c:dLbl>
              <c:idx val="22"/>
              <c:layout>
                <c:manualLayout>
                  <c:x val="0.13646981627296717"/>
                  <c:y val="-0.12077295338554175"/>
                </c:manualLayout>
              </c:layout>
              <c:spPr>
                <a:noFill/>
                <a:ln w="25381">
                  <a:noFill/>
                </a:ln>
              </c:spPr>
              <c:txPr>
                <a:bodyPr/>
                <a:lstStyle/>
                <a:p>
                  <a:pPr>
                    <a:defRPr/>
                  </a:pPr>
                  <a:endParaRPr lang="zh-CN"/>
                </a:p>
              </c:txPr>
              <c:dLblPos val="bestFit"/>
              <c:showVal val="1"/>
              <c:showCatName val="1"/>
              <c:showPercent val="1"/>
            </c:dLbl>
            <c:spPr>
              <a:noFill/>
              <a:ln w="25381">
                <a:noFill/>
              </a:ln>
            </c:spPr>
            <c:showVal val="1"/>
            <c:showCatName val="1"/>
            <c:showPercent val="1"/>
            <c:showLeaderLines val="1"/>
          </c:dLbls>
          <c:cat>
            <c:strRef>
              <c:f>Sheet1!$A$2:$A$23</c:f>
              <c:strCache>
                <c:ptCount val="22"/>
                <c:pt idx="0">
                  <c:v>江苏省</c:v>
                </c:pt>
                <c:pt idx="1">
                  <c:v>河北省</c:v>
                </c:pt>
                <c:pt idx="2">
                  <c:v>浙江省</c:v>
                </c:pt>
                <c:pt idx="3">
                  <c:v>湖北省</c:v>
                </c:pt>
                <c:pt idx="4">
                  <c:v>安徽省</c:v>
                </c:pt>
                <c:pt idx="5">
                  <c:v>河南省</c:v>
                </c:pt>
                <c:pt idx="6">
                  <c:v>江西省</c:v>
                </c:pt>
                <c:pt idx="7">
                  <c:v>陕西省</c:v>
                </c:pt>
                <c:pt idx="8">
                  <c:v>广东省</c:v>
                </c:pt>
                <c:pt idx="9">
                  <c:v>广西</c:v>
                </c:pt>
                <c:pt idx="10">
                  <c:v>内蒙古</c:v>
                </c:pt>
                <c:pt idx="11">
                  <c:v>宁夏</c:v>
                </c:pt>
                <c:pt idx="12">
                  <c:v>甘肃省</c:v>
                </c:pt>
                <c:pt idx="13">
                  <c:v>湖南省</c:v>
                </c:pt>
                <c:pt idx="14">
                  <c:v>黑龙江省</c:v>
                </c:pt>
                <c:pt idx="15">
                  <c:v>云南省</c:v>
                </c:pt>
                <c:pt idx="16">
                  <c:v>贵州省</c:v>
                </c:pt>
                <c:pt idx="17">
                  <c:v>山西省</c:v>
                </c:pt>
                <c:pt idx="18">
                  <c:v>四川省</c:v>
                </c:pt>
                <c:pt idx="19">
                  <c:v>天津市</c:v>
                </c:pt>
                <c:pt idx="20">
                  <c:v>吉林省</c:v>
                </c:pt>
                <c:pt idx="21">
                  <c:v>辽宁省</c:v>
                </c:pt>
              </c:strCache>
            </c:strRef>
          </c:cat>
          <c:val>
            <c:numRef>
              <c:f>Sheet1!$B$2:$B$23</c:f>
              <c:numCache>
                <c:formatCode>General</c:formatCode>
                <c:ptCount val="22"/>
                <c:pt idx="0">
                  <c:v>180</c:v>
                </c:pt>
                <c:pt idx="1">
                  <c:v>160</c:v>
                </c:pt>
                <c:pt idx="2">
                  <c:v>120</c:v>
                </c:pt>
                <c:pt idx="3">
                  <c:v>104</c:v>
                </c:pt>
                <c:pt idx="4">
                  <c:v>80</c:v>
                </c:pt>
                <c:pt idx="5">
                  <c:v>80</c:v>
                </c:pt>
                <c:pt idx="6">
                  <c:v>80</c:v>
                </c:pt>
                <c:pt idx="7">
                  <c:v>70</c:v>
                </c:pt>
                <c:pt idx="8">
                  <c:v>50</c:v>
                </c:pt>
                <c:pt idx="9">
                  <c:v>50</c:v>
                </c:pt>
                <c:pt idx="10">
                  <c:v>40</c:v>
                </c:pt>
                <c:pt idx="11">
                  <c:v>40</c:v>
                </c:pt>
                <c:pt idx="12">
                  <c:v>30</c:v>
                </c:pt>
                <c:pt idx="13">
                  <c:v>30</c:v>
                </c:pt>
                <c:pt idx="14">
                  <c:v>22</c:v>
                </c:pt>
                <c:pt idx="15">
                  <c:v>20</c:v>
                </c:pt>
                <c:pt idx="16">
                  <c:v>20</c:v>
                </c:pt>
                <c:pt idx="17">
                  <c:v>18</c:v>
                </c:pt>
                <c:pt idx="18">
                  <c:v>17</c:v>
                </c:pt>
                <c:pt idx="19">
                  <c:v>10</c:v>
                </c:pt>
                <c:pt idx="20">
                  <c:v>10</c:v>
                </c:pt>
                <c:pt idx="21">
                  <c:v>10</c:v>
                </c:pt>
              </c:numCache>
            </c:numRef>
          </c:val>
        </c:ser>
      </c:pie3DChart>
      <c:spPr>
        <a:noFill/>
        <a:ln w="25381">
          <a:noFill/>
        </a:ln>
      </c:spPr>
    </c:plotArea>
    <c:legend>
      <c:legendPos val="r"/>
      <c:layout>
        <c:manualLayout>
          <c:xMode val="edge"/>
          <c:yMode val="edge"/>
          <c:x val="0.84726184962173845"/>
          <c:y val="2.6761558651322431E-2"/>
          <c:w val="0.15042708815809933"/>
          <c:h val="0.93219059156067063"/>
        </c:manualLayout>
      </c:layout>
    </c:legend>
    <c:plotVisOnly val="1"/>
    <c:dispBlanksAs val="zero"/>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plotArea>
      <c:layout>
        <c:manualLayout>
          <c:layoutTarget val="inner"/>
          <c:xMode val="edge"/>
          <c:yMode val="edge"/>
          <c:x val="9.9493362416457065E-2"/>
          <c:y val="4.3145819655773056E-2"/>
          <c:w val="0.75686349708570022"/>
          <c:h val="0.85550044212389686"/>
        </c:manualLayout>
      </c:layout>
      <c:barChart>
        <c:barDir val="col"/>
        <c:grouping val="clustered"/>
        <c:ser>
          <c:idx val="0"/>
          <c:order val="0"/>
          <c:tx>
            <c:strRef>
              <c:f>Sheet1!$B$1</c:f>
              <c:strCache>
                <c:ptCount val="1"/>
                <c:pt idx="0">
                  <c:v>理工</c:v>
                </c:pt>
              </c:strCache>
            </c:strRef>
          </c:tx>
          <c:spPr>
            <a:solidFill>
              <a:schemeClr val="tx2">
                <a:lumMod val="60000"/>
                <a:lumOff val="40000"/>
              </a:schemeClr>
            </a:solidFill>
          </c:spPr>
          <c:dLbls>
            <c:dLbl>
              <c:idx val="5"/>
              <c:layout>
                <c:manualLayout>
                  <c:x val="-1.8959826024637125E-7"/>
                  <c:y val="2.2845477853968996E-2"/>
                </c:manualLayout>
              </c:layout>
              <c:spPr>
                <a:noFill/>
                <a:ln w="25169">
                  <a:noFill/>
                </a:ln>
              </c:spPr>
              <c:txPr>
                <a:bodyPr/>
                <a:lstStyle/>
                <a:p>
                  <a:pPr>
                    <a:defRPr/>
                  </a:pPr>
                  <a:endParaRPr lang="zh-CN"/>
                </a:p>
              </c:txPr>
              <c:dLblPos val="outEnd"/>
              <c:showVal val="1"/>
            </c:dLbl>
            <c:spPr>
              <a:noFill/>
              <a:ln w="25169">
                <a:noFill/>
              </a:ln>
            </c:spPr>
            <c:dLblPos val="outEnd"/>
            <c:showVal val="1"/>
          </c:dLbls>
          <c:cat>
            <c:numRef>
              <c:f>Sheet1!$A$2:$A$14</c:f>
              <c:numCache>
                <c:formatCode>General</c:formatCode>
                <c:ptCount val="13"/>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numCache>
            </c:numRef>
          </c:cat>
          <c:val>
            <c:numRef>
              <c:f>Sheet1!$B$2:$B$14</c:f>
              <c:numCache>
                <c:formatCode>General</c:formatCode>
                <c:ptCount val="13"/>
                <c:pt idx="0">
                  <c:v>-10.82</c:v>
                </c:pt>
                <c:pt idx="1">
                  <c:v>-31.54</c:v>
                </c:pt>
                <c:pt idx="2">
                  <c:v>-18</c:v>
                </c:pt>
                <c:pt idx="3">
                  <c:v>-24.2</c:v>
                </c:pt>
                <c:pt idx="4">
                  <c:v>-19.89</c:v>
                </c:pt>
                <c:pt idx="5">
                  <c:v>-3.1</c:v>
                </c:pt>
                <c:pt idx="6">
                  <c:v>1.01</c:v>
                </c:pt>
                <c:pt idx="7">
                  <c:v>5.1599999999999975</c:v>
                </c:pt>
                <c:pt idx="8">
                  <c:v>49.36</c:v>
                </c:pt>
                <c:pt idx="9">
                  <c:v>53.36</c:v>
                </c:pt>
                <c:pt idx="10">
                  <c:v>42</c:v>
                </c:pt>
                <c:pt idx="11">
                  <c:v>44</c:v>
                </c:pt>
                <c:pt idx="12">
                  <c:v>58.17</c:v>
                </c:pt>
              </c:numCache>
            </c:numRef>
          </c:val>
        </c:ser>
        <c:ser>
          <c:idx val="1"/>
          <c:order val="1"/>
          <c:tx>
            <c:strRef>
              <c:f>Sheet1!$C$1</c:f>
              <c:strCache>
                <c:ptCount val="1"/>
                <c:pt idx="0">
                  <c:v>文史</c:v>
                </c:pt>
              </c:strCache>
            </c:strRef>
          </c:tx>
          <c:spPr>
            <a:solidFill>
              <a:schemeClr val="accent2">
                <a:lumMod val="60000"/>
                <a:lumOff val="40000"/>
              </a:schemeClr>
            </a:solidFill>
            <a:ln>
              <a:solidFill>
                <a:schemeClr val="bg1">
                  <a:lumMod val="85000"/>
                </a:schemeClr>
              </a:solidFill>
            </a:ln>
          </c:spPr>
          <c:dLbls>
            <c:dLbl>
              <c:idx val="5"/>
              <c:layout>
                <c:manualLayout>
                  <c:x val="1.9270475117005751E-2"/>
                  <c:y val="8.1735555724591017E-3"/>
                </c:manualLayout>
              </c:layout>
              <c:tx>
                <c:rich>
                  <a:bodyPr/>
                  <a:lstStyle/>
                  <a:p>
                    <a:pPr>
                      <a:defRPr/>
                    </a:pPr>
                    <a:r>
                      <a:rPr lang="en-US" altLang="en-US"/>
                      <a:t>-0.09</a:t>
                    </a:r>
                  </a:p>
                </c:rich>
              </c:tx>
              <c:spPr>
                <a:noFill/>
                <a:ln w="25169">
                  <a:noFill/>
                </a:ln>
              </c:spPr>
              <c:dLblPos val="outEnd"/>
            </c:dLbl>
            <c:spPr>
              <a:noFill/>
              <a:ln w="25169">
                <a:noFill/>
              </a:ln>
            </c:spPr>
            <c:dLblPos val="outEnd"/>
            <c:showVal val="1"/>
          </c:dLbls>
          <c:cat>
            <c:numRef>
              <c:f>Sheet1!$A$2:$A$14</c:f>
              <c:numCache>
                <c:formatCode>General</c:formatCode>
                <c:ptCount val="13"/>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numCache>
            </c:numRef>
          </c:cat>
          <c:val>
            <c:numRef>
              <c:f>Sheet1!$C$2:$C$14</c:f>
              <c:numCache>
                <c:formatCode>General</c:formatCode>
                <c:ptCount val="13"/>
                <c:pt idx="0">
                  <c:v>-17.329999999999988</c:v>
                </c:pt>
                <c:pt idx="1">
                  <c:v>-21.87</c:v>
                </c:pt>
                <c:pt idx="2">
                  <c:v>-9.83</c:v>
                </c:pt>
                <c:pt idx="3">
                  <c:v>-14</c:v>
                </c:pt>
                <c:pt idx="4">
                  <c:v>7.14</c:v>
                </c:pt>
                <c:pt idx="5">
                  <c:v>-9.0000000000000024E-2</c:v>
                </c:pt>
                <c:pt idx="6">
                  <c:v>11.47</c:v>
                </c:pt>
                <c:pt idx="7">
                  <c:v>9.67</c:v>
                </c:pt>
                <c:pt idx="8">
                  <c:v>42.43</c:v>
                </c:pt>
                <c:pt idx="9">
                  <c:v>46.02</c:v>
                </c:pt>
                <c:pt idx="10">
                  <c:v>40</c:v>
                </c:pt>
                <c:pt idx="11">
                  <c:v>44</c:v>
                </c:pt>
                <c:pt idx="12">
                  <c:v>52.760000000000012</c:v>
                </c:pt>
              </c:numCache>
            </c:numRef>
          </c:val>
        </c:ser>
        <c:axId val="157390336"/>
        <c:axId val="157391872"/>
      </c:barChart>
      <c:catAx>
        <c:axId val="157390336"/>
        <c:scaling>
          <c:orientation val="minMax"/>
        </c:scaling>
        <c:axPos val="b"/>
        <c:minorGridlines>
          <c:spPr>
            <a:ln>
              <a:solidFill>
                <a:prstClr val="white">
                  <a:lumMod val="85000"/>
                  <a:alpha val="66000"/>
                </a:prstClr>
              </a:solidFill>
            </a:ln>
          </c:spPr>
        </c:minorGridlines>
        <c:numFmt formatCode="General" sourceLinked="1"/>
        <c:minorTickMark val="cross"/>
        <c:tickLblPos val="low"/>
        <c:spPr>
          <a:ln w="25169">
            <a:tailEnd type="none"/>
          </a:ln>
        </c:spPr>
        <c:crossAx val="157391872"/>
        <c:crosses val="autoZero"/>
        <c:lblAlgn val="ctr"/>
        <c:lblOffset val="0"/>
      </c:catAx>
      <c:valAx>
        <c:axId val="157391872"/>
        <c:scaling>
          <c:orientation val="minMax"/>
        </c:scaling>
        <c:axPos val="l"/>
        <c:majorGridlines/>
        <c:numFmt formatCode="General" sourceLinked="1"/>
        <c:minorTickMark val="in"/>
        <c:tickLblPos val="nextTo"/>
        <c:spPr>
          <a:ln w="25169">
            <a:headEnd type="none"/>
            <a:tailEnd type="triangle"/>
          </a:ln>
        </c:spPr>
        <c:crossAx val="157390336"/>
        <c:crosses val="autoZero"/>
        <c:crossBetween val="between"/>
      </c:valAx>
    </c:plotArea>
    <c:legend>
      <c:legendPos val="r"/>
      <c:layout>
        <c:manualLayout>
          <c:xMode val="edge"/>
          <c:yMode val="edge"/>
          <c:x val="0.89079855744461955"/>
          <c:y val="0.63493421812840134"/>
          <c:w val="8.9054834142641731E-2"/>
          <c:h val="0.13770250416811103"/>
        </c:manualLayout>
      </c:layout>
      <c:spPr>
        <a:ln>
          <a:noFill/>
        </a:ln>
      </c:spPr>
    </c:legend>
    <c:plotVisOnly val="1"/>
    <c:dispBlanksAs val="gap"/>
  </c:chart>
  <c:spPr>
    <a:ln>
      <a:noFill/>
    </a:ln>
  </c:sp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394">
          <a:noFill/>
        </a:ln>
      </c:spPr>
    </c:title>
    <c:plotArea>
      <c:layout/>
      <c:pieChart>
        <c:varyColors val="1"/>
        <c:ser>
          <c:idx val="0"/>
          <c:order val="0"/>
          <c:tx>
            <c:strRef>
              <c:f>Sheet1!$B$1</c:f>
              <c:strCache>
                <c:ptCount val="1"/>
                <c:pt idx="0">
                  <c:v>   </c:v>
                </c:pt>
              </c:strCache>
            </c:strRef>
          </c:tx>
          <c:spPr>
            <a:ln>
              <a:noFill/>
            </a:ln>
          </c:spPr>
          <c:dLbls>
            <c:dLbl>
              <c:idx val="0"/>
              <c:tx>
                <c:rich>
                  <a:bodyPr/>
                  <a:lstStyle/>
                  <a:p>
                    <a:pPr>
                      <a:defRPr/>
                    </a:pPr>
                    <a:r>
                      <a:rPr lang="en-US" altLang="zh-CN"/>
                      <a:t>41</a:t>
                    </a:r>
                    <a:r>
                      <a:rPr lang="zh-CN" altLang="en-US"/>
                      <a:t>人</a:t>
                    </a:r>
                    <a:endParaRPr lang="en-US" altLang="zh-CN"/>
                  </a:p>
                </c:rich>
              </c:tx>
              <c:spPr>
                <a:noFill/>
                <a:ln w="25394">
                  <a:noFill/>
                </a:ln>
              </c:spPr>
              <c:dLblPos val="outEnd"/>
            </c:dLbl>
            <c:dLbl>
              <c:idx val="1"/>
              <c:tx>
                <c:rich>
                  <a:bodyPr/>
                  <a:lstStyle/>
                  <a:p>
                    <a:pPr>
                      <a:defRPr/>
                    </a:pPr>
                    <a:r>
                      <a:rPr lang="en-US" altLang="zh-CN"/>
                      <a:t>251</a:t>
                    </a:r>
                    <a:r>
                      <a:rPr lang="zh-CN" altLang="en-US"/>
                      <a:t>人</a:t>
                    </a:r>
                    <a:endParaRPr lang="en-US" altLang="zh-CN"/>
                  </a:p>
                </c:rich>
              </c:tx>
              <c:spPr>
                <a:noFill/>
                <a:ln w="25394">
                  <a:noFill/>
                </a:ln>
              </c:spPr>
              <c:dLblPos val="outEnd"/>
            </c:dLbl>
            <c:dLbl>
              <c:idx val="2"/>
              <c:tx>
                <c:rich>
                  <a:bodyPr/>
                  <a:lstStyle/>
                  <a:p>
                    <a:pPr>
                      <a:defRPr/>
                    </a:pPr>
                    <a:r>
                      <a:rPr lang="en-US" altLang="zh-CN"/>
                      <a:t>463</a:t>
                    </a:r>
                    <a:r>
                      <a:rPr lang="zh-CN" altLang="en-US"/>
                      <a:t>人</a:t>
                    </a:r>
                    <a:endParaRPr lang="en-US" altLang="zh-CN"/>
                  </a:p>
                </c:rich>
              </c:tx>
              <c:spPr>
                <a:noFill/>
                <a:ln w="25394">
                  <a:noFill/>
                </a:ln>
              </c:spPr>
              <c:dLblPos val="outEnd"/>
            </c:dLbl>
            <c:dLbl>
              <c:idx val="3"/>
              <c:tx>
                <c:rich>
                  <a:bodyPr/>
                  <a:lstStyle/>
                  <a:p>
                    <a:pPr>
                      <a:defRPr/>
                    </a:pPr>
                    <a:r>
                      <a:rPr lang="en-US" altLang="zh-CN"/>
                      <a:t>393</a:t>
                    </a:r>
                    <a:r>
                      <a:rPr lang="zh-CN" altLang="en-US"/>
                      <a:t>人</a:t>
                    </a:r>
                    <a:endParaRPr lang="en-US" altLang="zh-CN"/>
                  </a:p>
                </c:rich>
              </c:tx>
              <c:spPr>
                <a:noFill/>
                <a:ln w="25394">
                  <a:noFill/>
                </a:ln>
              </c:spPr>
              <c:dLblPos val="outEnd"/>
            </c:dLbl>
            <c:spPr>
              <a:noFill/>
              <a:ln w="25394">
                <a:noFill/>
              </a:ln>
            </c:spPr>
            <c:dLblPos val="outEnd"/>
            <c:showPercent val="1"/>
            <c:showLeaderLines val="1"/>
          </c:dLbls>
          <c:cat>
            <c:strRef>
              <c:f>Sheet1!$A$2:$A$5</c:f>
              <c:strCache>
                <c:ptCount val="4"/>
                <c:pt idx="0">
                  <c:v>60岁以上</c:v>
                </c:pt>
                <c:pt idx="1">
                  <c:v>46-60岁</c:v>
                </c:pt>
                <c:pt idx="2">
                  <c:v>36-45岁</c:v>
                </c:pt>
                <c:pt idx="3">
                  <c:v>35岁以下</c:v>
                </c:pt>
              </c:strCache>
            </c:strRef>
          </c:cat>
          <c:val>
            <c:numRef>
              <c:f>Sheet1!$B$2:$B$5</c:f>
              <c:numCache>
                <c:formatCode>General</c:formatCode>
                <c:ptCount val="4"/>
                <c:pt idx="0">
                  <c:v>41</c:v>
                </c:pt>
                <c:pt idx="1">
                  <c:v>251</c:v>
                </c:pt>
                <c:pt idx="2">
                  <c:v>463</c:v>
                </c:pt>
                <c:pt idx="3">
                  <c:v>393</c:v>
                </c:pt>
              </c:numCache>
            </c:numRef>
          </c:val>
        </c:ser>
        <c:dLbls>
          <c:showPercent val="1"/>
        </c:dLbls>
        <c:firstSliceAng val="0"/>
      </c:pieChart>
      <c:spPr>
        <a:noFill/>
        <a:ln w="25394">
          <a:noFill/>
        </a:ln>
      </c:spPr>
    </c:plotArea>
    <c:legend>
      <c:legendPos val="r"/>
    </c:legend>
    <c:plotVisOnly val="1"/>
    <c:dispBlanksAs val="zero"/>
  </c:chart>
  <c:spPr>
    <a:ln>
      <a:noFill/>
    </a:ln>
  </c:sp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398">
          <a:noFill/>
        </a:ln>
      </c:spPr>
    </c:title>
    <c:plotArea>
      <c:layout/>
      <c:pieChart>
        <c:varyColors val="1"/>
        <c:ser>
          <c:idx val="0"/>
          <c:order val="0"/>
          <c:tx>
            <c:strRef>
              <c:f>Sheet1!$B$1</c:f>
              <c:strCache>
                <c:ptCount val="1"/>
                <c:pt idx="0">
                  <c:v>   </c:v>
                </c:pt>
              </c:strCache>
            </c:strRef>
          </c:tx>
          <c:spPr>
            <a:ln>
              <a:noFill/>
            </a:ln>
          </c:spPr>
          <c:dLbls>
            <c:dLbl>
              <c:idx val="0"/>
              <c:tx>
                <c:rich>
                  <a:bodyPr/>
                  <a:lstStyle/>
                  <a:p>
                    <a:pPr>
                      <a:defRPr/>
                    </a:pPr>
                    <a:r>
                      <a:rPr lang="en-US" altLang="zh-CN"/>
                      <a:t>11</a:t>
                    </a:r>
                    <a:r>
                      <a:rPr lang="zh-CN" altLang="en-US"/>
                      <a:t>人</a:t>
                    </a:r>
                    <a:endParaRPr lang="en-US" altLang="zh-CN"/>
                  </a:p>
                </c:rich>
              </c:tx>
              <c:spPr>
                <a:noFill/>
                <a:ln w="25398">
                  <a:noFill/>
                </a:ln>
              </c:spPr>
              <c:dLblPos val="outEnd"/>
            </c:dLbl>
            <c:dLbl>
              <c:idx val="1"/>
              <c:tx>
                <c:rich>
                  <a:bodyPr/>
                  <a:lstStyle/>
                  <a:p>
                    <a:pPr>
                      <a:defRPr/>
                    </a:pPr>
                    <a:r>
                      <a:rPr lang="en-US" altLang="zh-CN"/>
                      <a:t>256</a:t>
                    </a:r>
                    <a:r>
                      <a:rPr lang="zh-CN" altLang="en-US"/>
                      <a:t>人</a:t>
                    </a:r>
                    <a:endParaRPr lang="en-US" altLang="zh-CN"/>
                  </a:p>
                </c:rich>
              </c:tx>
              <c:spPr>
                <a:noFill/>
                <a:ln w="25398">
                  <a:noFill/>
                </a:ln>
              </c:spPr>
              <c:dLblPos val="outEnd"/>
            </c:dLbl>
            <c:dLbl>
              <c:idx val="2"/>
              <c:tx>
                <c:rich>
                  <a:bodyPr/>
                  <a:lstStyle/>
                  <a:p>
                    <a:pPr>
                      <a:defRPr/>
                    </a:pPr>
                    <a:r>
                      <a:rPr lang="en-US" altLang="zh-CN"/>
                      <a:t>531</a:t>
                    </a:r>
                    <a:r>
                      <a:rPr lang="zh-CN" altLang="en-US"/>
                      <a:t>人</a:t>
                    </a:r>
                    <a:endParaRPr lang="en-US" altLang="zh-CN"/>
                  </a:p>
                </c:rich>
              </c:tx>
              <c:spPr>
                <a:noFill/>
                <a:ln w="25398">
                  <a:noFill/>
                </a:ln>
              </c:spPr>
              <c:dLblPos val="outEnd"/>
            </c:dLbl>
            <c:dLbl>
              <c:idx val="3"/>
              <c:tx>
                <c:rich>
                  <a:bodyPr/>
                  <a:lstStyle/>
                  <a:p>
                    <a:pPr>
                      <a:defRPr/>
                    </a:pPr>
                    <a:r>
                      <a:rPr lang="en-US" altLang="zh-CN"/>
                      <a:t>350</a:t>
                    </a:r>
                    <a:r>
                      <a:rPr lang="zh-CN" altLang="en-US"/>
                      <a:t>人</a:t>
                    </a:r>
                    <a:endParaRPr lang="en-US" altLang="zh-CN"/>
                  </a:p>
                </c:rich>
              </c:tx>
              <c:spPr>
                <a:noFill/>
                <a:ln w="25398">
                  <a:noFill/>
                </a:ln>
              </c:spPr>
              <c:dLblPos val="outEnd"/>
            </c:dLbl>
            <c:spPr>
              <a:noFill/>
              <a:ln w="25398">
                <a:noFill/>
              </a:ln>
            </c:spPr>
            <c:dLblPos val="outEnd"/>
            <c:showPercent val="1"/>
            <c:showLeaderLines val="1"/>
          </c:dLbls>
          <c:cat>
            <c:strRef>
              <c:f>Sheet1!$A$2:$A$5</c:f>
              <c:strCache>
                <c:ptCount val="4"/>
                <c:pt idx="0">
                  <c:v>专科</c:v>
                </c:pt>
                <c:pt idx="1">
                  <c:v>本科</c:v>
                </c:pt>
                <c:pt idx="2">
                  <c:v>硕士</c:v>
                </c:pt>
                <c:pt idx="3">
                  <c:v>博士</c:v>
                </c:pt>
              </c:strCache>
            </c:strRef>
          </c:cat>
          <c:val>
            <c:numRef>
              <c:f>Sheet1!$B$2:$B$5</c:f>
              <c:numCache>
                <c:formatCode>General</c:formatCode>
                <c:ptCount val="4"/>
                <c:pt idx="0">
                  <c:v>11</c:v>
                </c:pt>
                <c:pt idx="1">
                  <c:v>256</c:v>
                </c:pt>
                <c:pt idx="2">
                  <c:v>531</c:v>
                </c:pt>
                <c:pt idx="3">
                  <c:v>350</c:v>
                </c:pt>
              </c:numCache>
            </c:numRef>
          </c:val>
        </c:ser>
        <c:dLbls>
          <c:showPercent val="1"/>
        </c:dLbls>
        <c:firstSliceAng val="0"/>
      </c:pieChart>
      <c:spPr>
        <a:noFill/>
        <a:ln w="25398">
          <a:noFill/>
        </a:ln>
      </c:spPr>
    </c:plotArea>
    <c:legend>
      <c:legendPos val="r"/>
    </c:legend>
    <c:plotVisOnly val="1"/>
    <c:dispBlanksAs val="zero"/>
  </c:chart>
  <c:spPr>
    <a:ln>
      <a:noFill/>
    </a:ln>
  </c:sp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146">
          <a:noFill/>
        </a:ln>
      </c:spPr>
    </c:title>
    <c:plotArea>
      <c:layout/>
      <c:pieChart>
        <c:varyColors val="1"/>
        <c:ser>
          <c:idx val="0"/>
          <c:order val="0"/>
          <c:tx>
            <c:strRef>
              <c:f>Sheet1!$B$1</c:f>
              <c:strCache>
                <c:ptCount val="1"/>
                <c:pt idx="0">
                  <c:v>   </c:v>
                </c:pt>
              </c:strCache>
            </c:strRef>
          </c:tx>
          <c:spPr>
            <a:ln>
              <a:noFill/>
            </a:ln>
          </c:spPr>
          <c:dLbls>
            <c:dLbl>
              <c:idx val="0"/>
              <c:tx>
                <c:rich>
                  <a:bodyPr/>
                  <a:lstStyle/>
                  <a:p>
                    <a:pPr>
                      <a:defRPr/>
                    </a:pPr>
                    <a:r>
                      <a:rPr lang="en-US" altLang="zh-CN"/>
                      <a:t>133</a:t>
                    </a:r>
                    <a:r>
                      <a:rPr lang="zh-CN" altLang="en-US"/>
                      <a:t>人</a:t>
                    </a:r>
                    <a:endParaRPr lang="en-US" altLang="zh-CN"/>
                  </a:p>
                </c:rich>
              </c:tx>
              <c:spPr>
                <a:noFill/>
                <a:ln w="25146">
                  <a:noFill/>
                </a:ln>
              </c:spPr>
              <c:dLblPos val="outEnd"/>
            </c:dLbl>
            <c:dLbl>
              <c:idx val="1"/>
              <c:tx>
                <c:rich>
                  <a:bodyPr/>
                  <a:lstStyle/>
                  <a:p>
                    <a:pPr>
                      <a:defRPr/>
                    </a:pPr>
                    <a:r>
                      <a:rPr lang="en-US" altLang="zh-CN"/>
                      <a:t>348</a:t>
                    </a:r>
                    <a:r>
                      <a:rPr lang="zh-CN" altLang="en-US"/>
                      <a:t>人</a:t>
                    </a:r>
                    <a:endParaRPr lang="en-US" altLang="zh-CN"/>
                  </a:p>
                </c:rich>
              </c:tx>
              <c:spPr>
                <a:noFill/>
                <a:ln w="25146">
                  <a:noFill/>
                </a:ln>
              </c:spPr>
              <c:dLblPos val="outEnd"/>
            </c:dLbl>
            <c:dLbl>
              <c:idx val="2"/>
              <c:tx>
                <c:rich>
                  <a:bodyPr/>
                  <a:lstStyle/>
                  <a:p>
                    <a:pPr>
                      <a:defRPr/>
                    </a:pPr>
                    <a:r>
                      <a:rPr lang="en-US" altLang="zh-CN"/>
                      <a:t>541</a:t>
                    </a:r>
                    <a:r>
                      <a:rPr lang="zh-CN" altLang="en-US"/>
                      <a:t>人</a:t>
                    </a:r>
                    <a:endParaRPr lang="en-US" altLang="zh-CN"/>
                  </a:p>
                </c:rich>
              </c:tx>
              <c:spPr>
                <a:noFill/>
                <a:ln w="25146">
                  <a:noFill/>
                </a:ln>
              </c:spPr>
              <c:dLblPos val="outEnd"/>
            </c:dLbl>
            <c:dLbl>
              <c:idx val="3"/>
              <c:tx>
                <c:rich>
                  <a:bodyPr/>
                  <a:lstStyle/>
                  <a:p>
                    <a:pPr>
                      <a:defRPr/>
                    </a:pPr>
                    <a:r>
                      <a:rPr lang="en-US" altLang="zh-CN"/>
                      <a:t>99</a:t>
                    </a:r>
                    <a:r>
                      <a:rPr lang="zh-CN" altLang="en-US"/>
                      <a:t>人</a:t>
                    </a:r>
                    <a:endParaRPr lang="en-US" altLang="zh-CN"/>
                  </a:p>
                </c:rich>
              </c:tx>
              <c:spPr>
                <a:noFill/>
                <a:ln w="25146">
                  <a:noFill/>
                </a:ln>
              </c:spPr>
              <c:dLblPos val="outEnd"/>
            </c:dLbl>
            <c:dLbl>
              <c:idx val="4"/>
              <c:tx>
                <c:rich>
                  <a:bodyPr/>
                  <a:lstStyle/>
                  <a:p>
                    <a:pPr>
                      <a:defRPr/>
                    </a:pPr>
                    <a:r>
                      <a:rPr lang="en-US" altLang="zh-CN"/>
                      <a:t>27</a:t>
                    </a:r>
                    <a:r>
                      <a:rPr lang="zh-CN" altLang="en-US"/>
                      <a:t>人</a:t>
                    </a:r>
                    <a:endParaRPr lang="en-US" altLang="zh-CN"/>
                  </a:p>
                </c:rich>
              </c:tx>
              <c:spPr>
                <a:noFill/>
                <a:ln w="25146">
                  <a:noFill/>
                </a:ln>
              </c:spPr>
              <c:dLblPos val="outEnd"/>
            </c:dLbl>
            <c:spPr>
              <a:noFill/>
              <a:ln w="25146">
                <a:noFill/>
              </a:ln>
            </c:spPr>
            <c:dLblPos val="outEnd"/>
            <c:showPercent val="1"/>
            <c:showLeaderLines val="1"/>
          </c:dLbls>
          <c:cat>
            <c:strRef>
              <c:f>Sheet1!$A$2:$A$6</c:f>
              <c:strCache>
                <c:ptCount val="5"/>
                <c:pt idx="0">
                  <c:v>教授</c:v>
                </c:pt>
                <c:pt idx="1">
                  <c:v>副教授</c:v>
                </c:pt>
                <c:pt idx="2">
                  <c:v>讲师</c:v>
                </c:pt>
                <c:pt idx="3">
                  <c:v>助教</c:v>
                </c:pt>
                <c:pt idx="4">
                  <c:v>未完成</c:v>
                </c:pt>
              </c:strCache>
            </c:strRef>
          </c:cat>
          <c:val>
            <c:numRef>
              <c:f>Sheet1!$B$2:$B$6</c:f>
              <c:numCache>
                <c:formatCode>General</c:formatCode>
                <c:ptCount val="5"/>
                <c:pt idx="0">
                  <c:v>133</c:v>
                </c:pt>
                <c:pt idx="1">
                  <c:v>348</c:v>
                </c:pt>
                <c:pt idx="2">
                  <c:v>541</c:v>
                </c:pt>
                <c:pt idx="3">
                  <c:v>99</c:v>
                </c:pt>
                <c:pt idx="4">
                  <c:v>27</c:v>
                </c:pt>
              </c:numCache>
            </c:numRef>
          </c:val>
        </c:ser>
        <c:dLbls>
          <c:showPercent val="1"/>
        </c:dLbls>
        <c:firstSliceAng val="0"/>
      </c:pieChart>
      <c:spPr>
        <a:noFill/>
        <a:ln w="25146">
          <a:noFill/>
        </a:ln>
      </c:spPr>
    </c:plotArea>
    <c:legend>
      <c:legendPos val="r"/>
    </c:legend>
    <c:plotVisOnly val="1"/>
    <c:dispBlanksAs val="zero"/>
  </c:chart>
  <c:spPr>
    <a:ln>
      <a:noFill/>
    </a:ln>
  </c:spPr>
  <c:externalData r:id="rId2"/>
</c:chartSpace>
</file>

<file path=word/drawings/drawing1.xml><?xml version="1.0" encoding="utf-8"?>
<c:userShapes xmlns:c="http://schemas.openxmlformats.org/drawingml/2006/chart">
  <cdr:relSizeAnchor xmlns:cdr="http://schemas.openxmlformats.org/drawingml/2006/chartDrawing">
    <cdr:from>
      <cdr:x>0.03646</cdr:x>
      <cdr:y>0.07217</cdr:y>
    </cdr:from>
    <cdr:to>
      <cdr:x>0.11285</cdr:x>
      <cdr:y>0.61853</cdr:y>
    </cdr:to>
    <cdr:sp macro="" textlink="">
      <cdr:nvSpPr>
        <cdr:cNvPr id="2" name="TextBox 1"/>
        <cdr:cNvSpPr txBox="1"/>
      </cdr:nvSpPr>
      <cdr:spPr>
        <a:xfrm xmlns:a="http://schemas.openxmlformats.org/drawingml/2006/main">
          <a:off x="183928" y="228483"/>
          <a:ext cx="385361" cy="1729713"/>
        </a:xfrm>
        <a:prstGeom xmlns:a="http://schemas.openxmlformats.org/drawingml/2006/main" prst="rect">
          <a:avLst/>
        </a:prstGeom>
      </cdr:spPr>
      <cdr:txBody>
        <a:bodyPr xmlns:a="http://schemas.openxmlformats.org/drawingml/2006/main" vertOverflow="clip" vert="eaVert" wrap="square" rtlCol="0"/>
        <a:lstStyle xmlns:a="http://schemas.openxmlformats.org/drawingml/2006/main"/>
        <a:p xmlns:a="http://schemas.openxmlformats.org/drawingml/2006/main">
          <a:r>
            <a:rPr lang="zh-CN" altLang="en-US" sz="1100"/>
            <a:t>新生实际报到率（</a:t>
          </a:r>
          <a:r>
            <a:rPr lang="en-US" altLang="zh-CN" sz="1100"/>
            <a:t>%</a:t>
          </a:r>
          <a:r>
            <a:rPr lang="zh-CN" altLang="en-US" sz="1100"/>
            <a:t>）</a:t>
          </a:r>
        </a:p>
      </cdr:txBody>
    </cdr:sp>
  </cdr:relSizeAnchor>
  <cdr:relSizeAnchor xmlns:cdr="http://schemas.openxmlformats.org/drawingml/2006/chartDrawing">
    <cdr:from>
      <cdr:x>0.89063</cdr:x>
      <cdr:y>0.80849</cdr:y>
    </cdr:from>
    <cdr:to>
      <cdr:x>1</cdr:x>
      <cdr:y>0.95135</cdr:y>
    </cdr:to>
    <cdr:sp macro="" textlink="">
      <cdr:nvSpPr>
        <cdr:cNvPr id="3" name="TextBox 2"/>
        <cdr:cNvSpPr txBox="1"/>
      </cdr:nvSpPr>
      <cdr:spPr>
        <a:xfrm xmlns:a="http://schemas.openxmlformats.org/drawingml/2006/main">
          <a:off x="4496540" y="2559240"/>
          <a:ext cx="551710" cy="45222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年份</a:t>
          </a:r>
        </a:p>
      </cdr:txBody>
    </cdr:sp>
  </cdr:relSizeAnchor>
</c:userShapes>
</file>

<file path=word/drawings/drawing2.xml><?xml version="1.0" encoding="utf-8"?>
<c:userShapes xmlns:c="http://schemas.openxmlformats.org/drawingml/2006/chart">
  <cdr:relSizeAnchor xmlns:cdr="http://schemas.openxmlformats.org/drawingml/2006/chartDrawing">
    <cdr:from>
      <cdr:x>0.85729</cdr:x>
      <cdr:y>0.5236</cdr:y>
    </cdr:from>
    <cdr:to>
      <cdr:x>0.99992</cdr:x>
      <cdr:y>0.60114</cdr:y>
    </cdr:to>
    <cdr:sp macro="" textlink="">
      <cdr:nvSpPr>
        <cdr:cNvPr id="2" name="TextBox 1"/>
        <cdr:cNvSpPr txBox="1"/>
      </cdr:nvSpPr>
      <cdr:spPr>
        <a:xfrm xmlns:a="http://schemas.openxmlformats.org/drawingml/2006/main">
          <a:off x="4969682" y="1865437"/>
          <a:ext cx="826819" cy="27625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本二划线</a:t>
          </a:r>
        </a:p>
      </cdr:txBody>
    </cdr:sp>
  </cdr:relSizeAnchor>
  <cdr:relSizeAnchor xmlns:cdr="http://schemas.openxmlformats.org/drawingml/2006/chartDrawing">
    <cdr:from>
      <cdr:x>0.00994</cdr:x>
      <cdr:y>0</cdr:y>
    </cdr:from>
    <cdr:to>
      <cdr:x>0.05936</cdr:x>
      <cdr:y>0.49395</cdr:y>
    </cdr:to>
    <cdr:sp macro="" textlink="">
      <cdr:nvSpPr>
        <cdr:cNvPr id="3" name="TextBox 2"/>
        <cdr:cNvSpPr txBox="1"/>
      </cdr:nvSpPr>
      <cdr:spPr>
        <a:xfrm xmlns:a="http://schemas.openxmlformats.org/drawingml/2006/main">
          <a:off x="62210" y="0"/>
          <a:ext cx="309265" cy="1543199"/>
        </a:xfrm>
        <a:prstGeom xmlns:a="http://schemas.openxmlformats.org/drawingml/2006/main" prst="rect">
          <a:avLst/>
        </a:prstGeom>
      </cdr:spPr>
      <cdr:txBody>
        <a:bodyPr xmlns:a="http://schemas.openxmlformats.org/drawingml/2006/main" vertOverflow="clip" vert="eaVert" wrap="square" rtlCol="0"/>
        <a:lstStyle xmlns:a="http://schemas.openxmlformats.org/drawingml/2006/main"/>
        <a:p xmlns:a="http://schemas.openxmlformats.org/drawingml/2006/main">
          <a:r>
            <a:rPr lang="zh-CN" altLang="en-US" sz="1100"/>
            <a:t>平均分差值（分）</a:t>
          </a:r>
        </a:p>
      </cdr:txBody>
    </cdr:sp>
  </cdr:relSizeAnchor>
  <cdr:relSizeAnchor xmlns:cdr="http://schemas.openxmlformats.org/drawingml/2006/chartDrawing">
    <cdr:from>
      <cdr:x>0.85864</cdr:x>
      <cdr:y>0.86683</cdr:y>
    </cdr:from>
    <cdr:to>
      <cdr:x>0.93899</cdr:x>
      <cdr:y>0.9322</cdr:y>
    </cdr:to>
    <cdr:sp macro="" textlink="">
      <cdr:nvSpPr>
        <cdr:cNvPr id="4" name="TextBox 3"/>
        <cdr:cNvSpPr txBox="1"/>
      </cdr:nvSpPr>
      <cdr:spPr>
        <a:xfrm xmlns:a="http://schemas.openxmlformats.org/drawingml/2006/main">
          <a:off x="4977467" y="3088263"/>
          <a:ext cx="465785" cy="2328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年份</a:t>
          </a:r>
        </a:p>
      </cdr:txBody>
    </cdr:sp>
  </cdr:relSizeAnchor>
  <cdr:relSizeAnchor xmlns:cdr="http://schemas.openxmlformats.org/drawingml/2006/chartDrawing">
    <cdr:from>
      <cdr:x>0.83358</cdr:x>
      <cdr:y>0.89791</cdr:y>
    </cdr:from>
    <cdr:to>
      <cdr:x>0.85888</cdr:x>
      <cdr:y>0.89835</cdr:y>
    </cdr:to>
    <cdr:sp macro="" textlink="">
      <cdr:nvSpPr>
        <cdr:cNvPr id="8" name="直接箭头连接符 7"/>
        <cdr:cNvSpPr/>
      </cdr:nvSpPr>
      <cdr:spPr>
        <a:xfrm xmlns:a="http://schemas.openxmlformats.org/drawingml/2006/main">
          <a:off x="4832214" y="3198978"/>
          <a:ext cx="146649" cy="1588"/>
        </a:xfrm>
        <a:prstGeom xmlns:a="http://schemas.openxmlformats.org/drawingml/2006/main" prst="straightConnector1">
          <a:avLst/>
        </a:prstGeom>
        <a:ln xmlns:a="http://schemas.openxmlformats.org/drawingml/2006/main">
          <a:solidFill>
            <a:schemeClr val="bg1">
              <a:lumMod val="65000"/>
            </a:schemeClr>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zh-CN" altLang="en-US"/>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A4C8C-EC8D-4D1E-A9A6-96798050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28</Pages>
  <Words>3652</Words>
  <Characters>20822</Characters>
  <Application>Microsoft Office Word</Application>
  <DocSecurity>0</DocSecurity>
  <Lines>173</Lines>
  <Paragraphs>48</Paragraphs>
  <ScaleCrop>false</ScaleCrop>
  <Company>Sky123.Org</Company>
  <LinksUpToDate>false</LinksUpToDate>
  <CharactersWithSpaces>24426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98</cp:revision>
  <cp:lastPrinted>2015-11-23T06:56:00Z</cp:lastPrinted>
  <dcterms:created xsi:type="dcterms:W3CDTF">2015-11-17T03:23:00Z</dcterms:created>
  <dcterms:modified xsi:type="dcterms:W3CDTF">2016-09-08T01:05:00Z</dcterms:modified>
</cp:coreProperties>
</file>